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4253" w14:textId="35D139BB" w:rsidR="00105010" w:rsidRPr="00976565" w:rsidRDefault="00105010" w:rsidP="00105010">
      <w:pPr>
        <w:jc w:val="center"/>
        <w:rPr>
          <w:rFonts w:ascii="Times New Roman" w:hAnsi="Times New Roman" w:cs="Times New Roman"/>
        </w:rPr>
      </w:pPr>
      <w:r w:rsidRPr="00976565">
        <w:rPr>
          <w:rFonts w:ascii="Times New Roman" w:hAnsi="Times New Roman" w:cs="Times New Roman"/>
          <w:noProof/>
        </w:rPr>
        <w:drawing>
          <wp:inline distT="0" distB="0" distL="0" distR="0" wp14:anchorId="36A0924D" wp14:editId="6043F06D">
            <wp:extent cx="2834640" cy="1072676"/>
            <wp:effectExtent l="0" t="0" r="0" b="0"/>
            <wp:docPr id="1067031736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31736" name="Obraz 1" descr="Obraz zawierający tekst, Czcionka, zrzut ekranu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130" cy="10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1FD4A" w14:textId="77777777" w:rsidR="00105010" w:rsidRPr="00976565" w:rsidRDefault="00105010" w:rsidP="00105010">
      <w:pPr>
        <w:jc w:val="center"/>
        <w:rPr>
          <w:rFonts w:ascii="Times New Roman" w:hAnsi="Times New Roman" w:cs="Times New Roman"/>
        </w:rPr>
      </w:pPr>
    </w:p>
    <w:p w14:paraId="23134B13" w14:textId="4DC60FF7" w:rsidR="00105010" w:rsidRPr="00976565" w:rsidRDefault="00105010" w:rsidP="0010501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565">
        <w:rPr>
          <w:rFonts w:ascii="Times New Roman" w:hAnsi="Times New Roman" w:cs="Times New Roman"/>
          <w:sz w:val="32"/>
          <w:szCs w:val="32"/>
        </w:rPr>
        <w:t>IN</w:t>
      </w:r>
      <w:r w:rsidR="00D40267">
        <w:rPr>
          <w:rFonts w:ascii="Times New Roman" w:hAnsi="Times New Roman" w:cs="Times New Roman"/>
          <w:sz w:val="32"/>
          <w:szCs w:val="32"/>
        </w:rPr>
        <w:t>WESTYCJE KONIK</w:t>
      </w:r>
      <w:r w:rsidRPr="00976565">
        <w:rPr>
          <w:rFonts w:ascii="Times New Roman" w:hAnsi="Times New Roman" w:cs="Times New Roman"/>
          <w:sz w:val="32"/>
          <w:szCs w:val="32"/>
        </w:rPr>
        <w:t xml:space="preserve"> S</w:t>
      </w:r>
      <w:r w:rsidR="00D40267">
        <w:rPr>
          <w:rFonts w:ascii="Times New Roman" w:hAnsi="Times New Roman" w:cs="Times New Roman"/>
          <w:sz w:val="32"/>
          <w:szCs w:val="32"/>
        </w:rPr>
        <w:t>p</w:t>
      </w:r>
      <w:r w:rsidRPr="00976565">
        <w:rPr>
          <w:rFonts w:ascii="Times New Roman" w:hAnsi="Times New Roman" w:cs="Times New Roman"/>
          <w:sz w:val="32"/>
          <w:szCs w:val="32"/>
        </w:rPr>
        <w:t>. z o.o.</w:t>
      </w:r>
      <w:r w:rsidRPr="00976565">
        <w:rPr>
          <w:rFonts w:ascii="Times New Roman" w:hAnsi="Times New Roman" w:cs="Times New Roman"/>
          <w:sz w:val="32"/>
          <w:szCs w:val="32"/>
        </w:rPr>
        <w:br/>
        <w:t>ul. Krakowska 28, 32-088 Brzozówka</w:t>
      </w:r>
    </w:p>
    <w:p w14:paraId="21AA2363" w14:textId="77777777" w:rsidR="00105010" w:rsidRPr="00976565" w:rsidRDefault="00105010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47CE07" w14:textId="77777777" w:rsidR="00105010" w:rsidRPr="00976565" w:rsidRDefault="00105010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10954A" w14:textId="27F85770" w:rsidR="00105010" w:rsidRPr="00976565" w:rsidRDefault="00105010" w:rsidP="001050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565">
        <w:rPr>
          <w:rFonts w:ascii="Times New Roman" w:hAnsi="Times New Roman" w:cs="Times New Roman"/>
          <w:b/>
          <w:bCs/>
          <w:sz w:val="32"/>
          <w:szCs w:val="32"/>
        </w:rPr>
        <w:t xml:space="preserve">PROSPEKT INFORMACYJNY </w:t>
      </w:r>
      <w:r w:rsidRPr="00976565">
        <w:rPr>
          <w:rFonts w:ascii="Times New Roman" w:hAnsi="Times New Roman" w:cs="Times New Roman"/>
          <w:b/>
          <w:bCs/>
          <w:sz w:val="32"/>
          <w:szCs w:val="32"/>
        </w:rPr>
        <w:br/>
        <w:t>dla projektu deweloperskiego</w:t>
      </w:r>
      <w:r w:rsidRPr="00976565">
        <w:rPr>
          <w:rFonts w:ascii="Times New Roman" w:hAnsi="Times New Roman" w:cs="Times New Roman"/>
          <w:b/>
          <w:bCs/>
          <w:sz w:val="32"/>
          <w:szCs w:val="32"/>
        </w:rPr>
        <w:br/>
      </w:r>
      <w:bookmarkStart w:id="0" w:name="_Hlk146113354"/>
      <w:r w:rsidRPr="001907BE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DOMY JEDNORODZINNE W ZABUDOWIE </w:t>
      </w:r>
      <w:bookmarkEnd w:id="0"/>
      <w:r w:rsidR="008C0421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BLIŹNIACZEJ</w:t>
      </w:r>
      <w:r w:rsidR="001907BE" w:rsidRPr="001907BE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,</w:t>
      </w:r>
      <w:r w:rsidR="00D40267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  <w:r w:rsidR="001907BE" w:rsidRPr="001907BE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  <w:r w:rsidR="00D40267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13</w:t>
      </w:r>
      <w:r w:rsidR="001907BE" w:rsidRPr="001907BE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, </w:t>
      </w:r>
      <w:r w:rsidR="00D40267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14</w:t>
      </w:r>
      <w:r w:rsidR="008C0421" w:rsidRPr="008C0421">
        <w:rPr>
          <w:rFonts w:ascii="Times New Roman" w:hAnsi="Times New Roman" w:cs="Times New Roman"/>
          <w:b/>
          <w:bCs/>
          <w:sz w:val="32"/>
          <w:szCs w:val="32"/>
          <w:highlight w:val="lightGray"/>
          <w:shd w:val="clear" w:color="auto" w:fill="D9D9D9" w:themeFill="background1" w:themeFillShade="D9"/>
        </w:rPr>
        <w:t xml:space="preserve">, </w:t>
      </w:r>
      <w:r w:rsidR="00D40267">
        <w:rPr>
          <w:rFonts w:ascii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</w:rPr>
        <w:t>15</w:t>
      </w:r>
      <w:r w:rsidR="008C0421" w:rsidRPr="008C0421">
        <w:rPr>
          <w:rFonts w:ascii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</w:rPr>
        <w:t xml:space="preserve">, </w:t>
      </w:r>
      <w:r w:rsidR="00D40267">
        <w:rPr>
          <w:rFonts w:ascii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</w:rPr>
        <w:t>16, 17</w:t>
      </w:r>
      <w:r w:rsidR="008C0421" w:rsidRPr="008C0421">
        <w:rPr>
          <w:rFonts w:ascii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</w:rPr>
        <w:t xml:space="preserve"> i </w:t>
      </w:r>
      <w:r w:rsidR="00D40267">
        <w:rPr>
          <w:rFonts w:ascii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</w:rPr>
        <w:t>18</w:t>
      </w:r>
      <w:r w:rsidRPr="00976565">
        <w:rPr>
          <w:rFonts w:ascii="Times New Roman" w:hAnsi="Times New Roman" w:cs="Times New Roman"/>
          <w:b/>
          <w:bCs/>
          <w:sz w:val="32"/>
          <w:szCs w:val="32"/>
        </w:rPr>
        <w:br/>
        <w:t xml:space="preserve">zlokalizowane w </w:t>
      </w:r>
      <w:r w:rsidR="008C0421">
        <w:rPr>
          <w:rFonts w:ascii="Times New Roman" w:hAnsi="Times New Roman" w:cs="Times New Roman"/>
          <w:b/>
          <w:bCs/>
          <w:sz w:val="32"/>
          <w:szCs w:val="32"/>
        </w:rPr>
        <w:t>Zielonkach</w:t>
      </w:r>
      <w:r w:rsidRPr="00976565">
        <w:rPr>
          <w:rFonts w:ascii="Times New Roman" w:hAnsi="Times New Roman" w:cs="Times New Roman"/>
          <w:b/>
          <w:bCs/>
          <w:sz w:val="32"/>
          <w:szCs w:val="32"/>
        </w:rPr>
        <w:t xml:space="preserve"> ul. </w:t>
      </w:r>
      <w:r w:rsidR="008C0421">
        <w:rPr>
          <w:rFonts w:ascii="Times New Roman" w:hAnsi="Times New Roman" w:cs="Times New Roman"/>
          <w:b/>
          <w:bCs/>
          <w:sz w:val="32"/>
          <w:szCs w:val="32"/>
        </w:rPr>
        <w:t>Długopolska</w:t>
      </w:r>
    </w:p>
    <w:p w14:paraId="3E93766C" w14:textId="77777777" w:rsidR="00105010" w:rsidRPr="00976565" w:rsidRDefault="00105010" w:rsidP="001050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7B42B1" w14:textId="77777777" w:rsidR="00105010" w:rsidRPr="00976565" w:rsidRDefault="00105010" w:rsidP="001050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E15492" w14:textId="77777777" w:rsidR="00105010" w:rsidRPr="00976565" w:rsidRDefault="00105010" w:rsidP="001050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89FF93" w14:textId="7B81BE7C" w:rsidR="00976565" w:rsidRPr="00976565" w:rsidRDefault="00105010" w:rsidP="0010501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565">
        <w:rPr>
          <w:rFonts w:ascii="Times New Roman" w:hAnsi="Times New Roman" w:cs="Times New Roman"/>
          <w:sz w:val="32"/>
          <w:szCs w:val="32"/>
        </w:rPr>
        <w:t>Sporządzony zgodnie z Ustawą z dnia 20</w:t>
      </w:r>
      <w:r w:rsidR="008C0421">
        <w:rPr>
          <w:rFonts w:ascii="Times New Roman" w:hAnsi="Times New Roman" w:cs="Times New Roman"/>
          <w:sz w:val="32"/>
          <w:szCs w:val="32"/>
        </w:rPr>
        <w:t xml:space="preserve"> </w:t>
      </w:r>
      <w:r w:rsidRPr="00976565">
        <w:rPr>
          <w:rFonts w:ascii="Times New Roman" w:hAnsi="Times New Roman" w:cs="Times New Roman"/>
          <w:sz w:val="32"/>
          <w:szCs w:val="32"/>
        </w:rPr>
        <w:t>maja 2021</w:t>
      </w:r>
      <w:r w:rsidR="00976565" w:rsidRPr="00976565">
        <w:rPr>
          <w:rFonts w:ascii="Times New Roman" w:hAnsi="Times New Roman" w:cs="Times New Roman"/>
          <w:sz w:val="32"/>
          <w:szCs w:val="32"/>
        </w:rPr>
        <w:t xml:space="preserve"> roku o ochronie praw nabywcy lokalu mieszkalnego lub domu jednorodzinnego oraz Deweloperskim funduszu Gwarancyjnym</w:t>
      </w:r>
    </w:p>
    <w:p w14:paraId="5C84A787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293E66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A16D23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C940CE" w14:textId="73D22915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565">
        <w:rPr>
          <w:rFonts w:ascii="Times New Roman" w:hAnsi="Times New Roman" w:cs="Times New Roman"/>
          <w:sz w:val="32"/>
          <w:szCs w:val="32"/>
        </w:rPr>
        <w:t xml:space="preserve">BRZOZÓWKA DNIA </w:t>
      </w:r>
      <w:r w:rsidR="00D40267">
        <w:rPr>
          <w:rFonts w:ascii="Times New Roman" w:hAnsi="Times New Roman" w:cs="Times New Roman"/>
          <w:sz w:val="32"/>
          <w:szCs w:val="32"/>
        </w:rPr>
        <w:t>24</w:t>
      </w:r>
      <w:r w:rsidR="008C0421">
        <w:rPr>
          <w:rFonts w:ascii="Times New Roman" w:hAnsi="Times New Roman" w:cs="Times New Roman"/>
          <w:sz w:val="32"/>
          <w:szCs w:val="32"/>
        </w:rPr>
        <w:t>-</w:t>
      </w:r>
      <w:r w:rsidR="00D40267">
        <w:rPr>
          <w:rFonts w:ascii="Times New Roman" w:hAnsi="Times New Roman" w:cs="Times New Roman"/>
          <w:sz w:val="32"/>
          <w:szCs w:val="32"/>
        </w:rPr>
        <w:t>06</w:t>
      </w:r>
      <w:r w:rsidR="008C0421">
        <w:rPr>
          <w:rFonts w:ascii="Times New Roman" w:hAnsi="Times New Roman" w:cs="Times New Roman"/>
          <w:sz w:val="32"/>
          <w:szCs w:val="32"/>
        </w:rPr>
        <w:t>-202</w:t>
      </w:r>
      <w:r w:rsidR="00D40267">
        <w:rPr>
          <w:rFonts w:ascii="Times New Roman" w:hAnsi="Times New Roman" w:cs="Times New Roman"/>
          <w:sz w:val="32"/>
          <w:szCs w:val="32"/>
        </w:rPr>
        <w:t>5</w:t>
      </w:r>
    </w:p>
    <w:p w14:paraId="5C8AEE50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1999AB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322274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9716A4" w14:textId="77777777" w:rsidR="00976565" w:rsidRPr="00976565" w:rsidRDefault="00976565" w:rsidP="001050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C273C3" w14:textId="77777777" w:rsidR="00976565" w:rsidRPr="00976565" w:rsidRDefault="00976565" w:rsidP="00976565">
      <w:pPr>
        <w:rPr>
          <w:rFonts w:ascii="Times New Roman" w:hAnsi="Times New Roman" w:cs="Times New Roman"/>
          <w:sz w:val="28"/>
          <w:szCs w:val="28"/>
        </w:rPr>
      </w:pPr>
      <w:r w:rsidRPr="00976565">
        <w:rPr>
          <w:rFonts w:ascii="Times New Roman" w:hAnsi="Times New Roman" w:cs="Times New Roman"/>
          <w:sz w:val="28"/>
          <w:szCs w:val="28"/>
        </w:rPr>
        <w:lastRenderedPageBreak/>
        <w:t>CZĘŚĆ OGÓLNA</w:t>
      </w:r>
    </w:p>
    <w:p w14:paraId="4C69FE02" w14:textId="34C21D3B" w:rsidR="00105010" w:rsidRPr="007D7C19" w:rsidRDefault="00976565" w:rsidP="00976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C19">
        <w:rPr>
          <w:rFonts w:ascii="Times New Roman" w:hAnsi="Times New Roman" w:cs="Times New Roman"/>
          <w:b/>
          <w:bCs/>
          <w:sz w:val="28"/>
          <w:szCs w:val="28"/>
        </w:rPr>
        <w:t xml:space="preserve"> Dane identyfikacyjne i kontaktowe dotyczące dewelopera</w:t>
      </w:r>
      <w:r w:rsidRPr="007D7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56B03" w14:textId="77777777" w:rsidR="00173EBD" w:rsidRDefault="00173EBD" w:rsidP="00173E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73EBD" w14:paraId="6CD3F260" w14:textId="77777777" w:rsidTr="00640B20">
        <w:trPr>
          <w:trHeight w:val="402"/>
        </w:trPr>
        <w:tc>
          <w:tcPr>
            <w:tcW w:w="9062" w:type="dxa"/>
            <w:gridSpan w:val="2"/>
          </w:tcPr>
          <w:p w14:paraId="0845DF16" w14:textId="77777777" w:rsidR="00173EBD" w:rsidRPr="00173EBD" w:rsidRDefault="00173EBD" w:rsidP="00173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10AD44" w14:textId="7D462D54" w:rsidR="00173EBD" w:rsidRDefault="00173EBD" w:rsidP="00173E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DEWELOPERA</w:t>
            </w:r>
          </w:p>
        </w:tc>
      </w:tr>
      <w:tr w:rsidR="00173EBD" w:rsidRPr="007642EE" w14:paraId="0AF5973A" w14:textId="77777777" w:rsidTr="00CD0684">
        <w:tc>
          <w:tcPr>
            <w:tcW w:w="3114" w:type="dxa"/>
          </w:tcPr>
          <w:p w14:paraId="1A0643A4" w14:textId="4620129D" w:rsidR="00173EBD" w:rsidRDefault="00173EBD" w:rsidP="00173E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Deweloper</w:t>
            </w:r>
          </w:p>
        </w:tc>
        <w:tc>
          <w:tcPr>
            <w:tcW w:w="5948" w:type="dxa"/>
            <w:vAlign w:val="center"/>
          </w:tcPr>
          <w:p w14:paraId="4D755AFE" w14:textId="0262BC16" w:rsidR="00173EBD" w:rsidRPr="00D40267" w:rsidRDefault="00D40267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INWESTYCJE KONIK </w:t>
            </w:r>
            <w:r w:rsidR="00173EBD" w:rsidRP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Sp. z o.</w:t>
            </w:r>
            <w:r w:rsidR="007642EE" w:rsidRP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3EBD" w:rsidRP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  <w:p w14:paraId="7D5D9A4E" w14:textId="2A821EB9" w:rsidR="00173EBD" w:rsidRPr="00D40267" w:rsidRDefault="00173EBD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EBD" w14:paraId="71AFE9AD" w14:textId="77777777" w:rsidTr="00CD0684">
        <w:trPr>
          <w:trHeight w:val="507"/>
        </w:trPr>
        <w:tc>
          <w:tcPr>
            <w:tcW w:w="3114" w:type="dxa"/>
            <w:vAlign w:val="center"/>
          </w:tcPr>
          <w:p w14:paraId="0AB74D56" w14:textId="24B3D970" w:rsidR="00173EBD" w:rsidRDefault="00173EBD" w:rsidP="00173E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948" w:type="dxa"/>
            <w:vAlign w:val="center"/>
          </w:tcPr>
          <w:p w14:paraId="351E97BC" w14:textId="4214FC15" w:rsidR="00173EBD" w:rsidRPr="00173EBD" w:rsidRDefault="00173EBD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32-088 Brzozówka, ul. Krakowska 28</w:t>
            </w:r>
          </w:p>
        </w:tc>
      </w:tr>
      <w:tr w:rsidR="00173EBD" w14:paraId="2254B067" w14:textId="77777777" w:rsidTr="00CD0684">
        <w:trPr>
          <w:trHeight w:val="558"/>
        </w:trPr>
        <w:tc>
          <w:tcPr>
            <w:tcW w:w="3114" w:type="dxa"/>
            <w:vAlign w:val="center"/>
          </w:tcPr>
          <w:p w14:paraId="04A47EA6" w14:textId="7302A5FE" w:rsidR="00173EBD" w:rsidRDefault="00173EBD" w:rsidP="0017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NIP i REGON</w:t>
            </w:r>
          </w:p>
        </w:tc>
        <w:tc>
          <w:tcPr>
            <w:tcW w:w="5948" w:type="dxa"/>
            <w:vAlign w:val="center"/>
          </w:tcPr>
          <w:p w14:paraId="359B4FE4" w14:textId="5E1E84DC" w:rsidR="00173EBD" w:rsidRPr="00173EBD" w:rsidRDefault="00173EBD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NIP: 5130</w:t>
            </w:r>
            <w:r w:rsid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301808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REGON: </w:t>
            </w:r>
            <w:r w:rsid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541301932</w:t>
            </w:r>
          </w:p>
        </w:tc>
      </w:tr>
      <w:tr w:rsidR="00173EBD" w14:paraId="57590645" w14:textId="77777777" w:rsidTr="00CD0684">
        <w:trPr>
          <w:trHeight w:val="424"/>
        </w:trPr>
        <w:tc>
          <w:tcPr>
            <w:tcW w:w="3114" w:type="dxa"/>
            <w:vAlign w:val="center"/>
          </w:tcPr>
          <w:p w14:paraId="26001957" w14:textId="7F1763E1" w:rsidR="00173EBD" w:rsidRDefault="00173EBD" w:rsidP="0017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948" w:type="dxa"/>
            <w:vAlign w:val="center"/>
          </w:tcPr>
          <w:p w14:paraId="6CD8E1BD" w14:textId="494D35C9" w:rsidR="00173EBD" w:rsidRPr="007D7C19" w:rsidRDefault="007D7C19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881 244 244</w:t>
            </w:r>
          </w:p>
        </w:tc>
      </w:tr>
      <w:tr w:rsidR="00173EBD" w14:paraId="2CDF921A" w14:textId="77777777" w:rsidTr="00CD0684">
        <w:trPr>
          <w:trHeight w:val="558"/>
        </w:trPr>
        <w:tc>
          <w:tcPr>
            <w:tcW w:w="3114" w:type="dxa"/>
            <w:vAlign w:val="center"/>
          </w:tcPr>
          <w:p w14:paraId="72A47869" w14:textId="1B3F04DD" w:rsidR="00173EBD" w:rsidRDefault="00173EBD" w:rsidP="0017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948" w:type="dxa"/>
            <w:vAlign w:val="center"/>
          </w:tcPr>
          <w:p w14:paraId="2AAC3E52" w14:textId="051FA3C7" w:rsidR="00173EBD" w:rsidRPr="007D7C19" w:rsidRDefault="007D0739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domy</w:t>
            </w:r>
            <w:r w:rsidR="007D7C19" w:rsidRPr="007D7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@investin.com.pl</w:t>
            </w:r>
          </w:p>
        </w:tc>
      </w:tr>
      <w:tr w:rsidR="00173EBD" w14:paraId="569482DA" w14:textId="77777777" w:rsidTr="00CD0684">
        <w:trPr>
          <w:trHeight w:val="552"/>
        </w:trPr>
        <w:tc>
          <w:tcPr>
            <w:tcW w:w="3114" w:type="dxa"/>
            <w:vAlign w:val="center"/>
          </w:tcPr>
          <w:p w14:paraId="0D527397" w14:textId="52503F07" w:rsidR="00173EBD" w:rsidRDefault="00173EBD" w:rsidP="0017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strony internetowej</w:t>
            </w:r>
          </w:p>
        </w:tc>
        <w:tc>
          <w:tcPr>
            <w:tcW w:w="5948" w:type="dxa"/>
            <w:vAlign w:val="center"/>
          </w:tcPr>
          <w:p w14:paraId="2F291843" w14:textId="0D1EC422" w:rsidR="00173EBD" w:rsidRPr="007D7C19" w:rsidRDefault="007D7C19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www.</w:t>
            </w:r>
            <w:r w:rsidR="007D0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dlugopolska76.pl</w:t>
            </w:r>
          </w:p>
        </w:tc>
      </w:tr>
    </w:tbl>
    <w:p w14:paraId="5C534C9F" w14:textId="77777777" w:rsidR="007D7C19" w:rsidRDefault="007D7C19" w:rsidP="00173EBD">
      <w:pPr>
        <w:rPr>
          <w:rFonts w:ascii="Times New Roman" w:hAnsi="Times New Roman" w:cs="Times New Roman"/>
          <w:sz w:val="24"/>
          <w:szCs w:val="24"/>
        </w:rPr>
      </w:pPr>
    </w:p>
    <w:p w14:paraId="24C351FD" w14:textId="70B0E50D" w:rsidR="007D7C19" w:rsidRPr="001416EE" w:rsidRDefault="007D7C19" w:rsidP="007D7C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D7C19">
        <w:rPr>
          <w:rFonts w:ascii="Times New Roman" w:hAnsi="Times New Roman" w:cs="Times New Roman"/>
          <w:b/>
          <w:bCs/>
          <w:sz w:val="28"/>
          <w:szCs w:val="28"/>
        </w:rPr>
        <w:t>Doświadczenie dewelopera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7C19" w14:paraId="3D6F05F1" w14:textId="77777777" w:rsidTr="007D7C19">
        <w:tc>
          <w:tcPr>
            <w:tcW w:w="9062" w:type="dxa"/>
            <w:vAlign w:val="center"/>
          </w:tcPr>
          <w:p w14:paraId="1C7E8989" w14:textId="745ABC2E" w:rsidR="007D7C19" w:rsidRPr="007D7C19" w:rsidRDefault="007D7C19" w:rsidP="007D7C1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UDOKUMENTOWANE DOŚWIACZENIE DEWELOPERA</w:t>
            </w:r>
          </w:p>
        </w:tc>
      </w:tr>
    </w:tbl>
    <w:p w14:paraId="7EFE6B0D" w14:textId="77777777" w:rsidR="007D7C19" w:rsidRDefault="007D7C19" w:rsidP="007D7C1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560"/>
        <w:gridCol w:w="5231"/>
      </w:tblGrid>
      <w:tr w:rsidR="0090687A" w14:paraId="3E0E3931" w14:textId="77777777" w:rsidTr="00C72E91">
        <w:trPr>
          <w:trHeight w:val="220"/>
        </w:trPr>
        <w:tc>
          <w:tcPr>
            <w:tcW w:w="9062" w:type="dxa"/>
            <w:gridSpan w:val="3"/>
            <w:vAlign w:val="center"/>
          </w:tcPr>
          <w:p w14:paraId="2763E328" w14:textId="4514554C" w:rsidR="0090687A" w:rsidRPr="0090687A" w:rsidRDefault="0090687A" w:rsidP="0090687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 UKOŃCZONEGO PRZEDSIĘWZIĘCIA DEWELOPERSKIEGO</w:t>
            </w:r>
          </w:p>
        </w:tc>
      </w:tr>
      <w:tr w:rsidR="001416EE" w14:paraId="49874470" w14:textId="77777777" w:rsidTr="005F263B">
        <w:trPr>
          <w:trHeight w:val="1064"/>
        </w:trPr>
        <w:tc>
          <w:tcPr>
            <w:tcW w:w="1271" w:type="dxa"/>
            <w:vAlign w:val="center"/>
          </w:tcPr>
          <w:p w14:paraId="42B4E777" w14:textId="229ABB3B" w:rsidR="001416EE" w:rsidRPr="0090687A" w:rsidRDefault="001416EE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7791" w:type="dxa"/>
            <w:gridSpan w:val="2"/>
            <w:vAlign w:val="center"/>
          </w:tcPr>
          <w:p w14:paraId="312091D4" w14:textId="5E1A4149" w:rsidR="001416EE" w:rsidRPr="007E6380" w:rsidRDefault="007E6380" w:rsidP="008C042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</w:t>
            </w:r>
          </w:p>
        </w:tc>
      </w:tr>
      <w:tr w:rsidR="008C0421" w14:paraId="7C12CACD" w14:textId="77777777" w:rsidTr="005F263B">
        <w:trPr>
          <w:trHeight w:val="552"/>
        </w:trPr>
        <w:tc>
          <w:tcPr>
            <w:tcW w:w="3831" w:type="dxa"/>
            <w:gridSpan w:val="2"/>
            <w:vAlign w:val="center"/>
          </w:tcPr>
          <w:p w14:paraId="530A118C" w14:textId="00559028" w:rsidR="008C0421" w:rsidRPr="0090687A" w:rsidRDefault="008C0421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5231" w:type="dxa"/>
            <w:vAlign w:val="center"/>
          </w:tcPr>
          <w:p w14:paraId="2E39D7A6" w14:textId="0D2CCCAC" w:rsidR="008C0421" w:rsidRPr="0090687A" w:rsidRDefault="007E6380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</w:t>
            </w:r>
          </w:p>
        </w:tc>
      </w:tr>
      <w:tr w:rsidR="008C0421" w14:paraId="1B6C116B" w14:textId="77777777" w:rsidTr="005F263B">
        <w:trPr>
          <w:trHeight w:val="688"/>
        </w:trPr>
        <w:tc>
          <w:tcPr>
            <w:tcW w:w="3831" w:type="dxa"/>
            <w:gridSpan w:val="2"/>
            <w:vAlign w:val="center"/>
          </w:tcPr>
          <w:p w14:paraId="7DA08D16" w14:textId="5F787C86" w:rsidR="008C0421" w:rsidRPr="0090687A" w:rsidRDefault="008C0421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Data wydania decyzji o pozwoleniu na użytkowanie</w:t>
            </w:r>
          </w:p>
        </w:tc>
        <w:tc>
          <w:tcPr>
            <w:tcW w:w="5231" w:type="dxa"/>
            <w:vAlign w:val="center"/>
          </w:tcPr>
          <w:p w14:paraId="75A02303" w14:textId="56EA594E" w:rsidR="008C0421" w:rsidRPr="0090687A" w:rsidRDefault="007E6380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</w:t>
            </w:r>
          </w:p>
        </w:tc>
      </w:tr>
      <w:tr w:rsidR="00C72E91" w14:paraId="25C382CB" w14:textId="77777777" w:rsidTr="00FD4CC5">
        <w:trPr>
          <w:trHeight w:val="659"/>
        </w:trPr>
        <w:tc>
          <w:tcPr>
            <w:tcW w:w="9062" w:type="dxa"/>
            <w:gridSpan w:val="3"/>
            <w:vAlign w:val="center"/>
          </w:tcPr>
          <w:p w14:paraId="070D56B1" w14:textId="42947A11" w:rsidR="00C72E91" w:rsidRPr="001416EE" w:rsidRDefault="00C72E91" w:rsidP="001416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PRZYKŁAD </w:t>
            </w:r>
            <w:r w:rsidR="003E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INNEGO </w:t>
            </w:r>
            <w:r w:rsidRPr="0090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UKOŃCZONEGO PRZEDSIĘWZIĘCIA DEWELOPERSKIEGO</w:t>
            </w:r>
          </w:p>
        </w:tc>
      </w:tr>
      <w:tr w:rsidR="001416EE" w14:paraId="4DC0C9A4" w14:textId="77777777" w:rsidTr="005F263B">
        <w:trPr>
          <w:trHeight w:val="1033"/>
        </w:trPr>
        <w:tc>
          <w:tcPr>
            <w:tcW w:w="1271" w:type="dxa"/>
            <w:vAlign w:val="center"/>
          </w:tcPr>
          <w:p w14:paraId="15891D90" w14:textId="77777777" w:rsidR="001416EE" w:rsidRPr="0090687A" w:rsidRDefault="001416EE" w:rsidP="0056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7791" w:type="dxa"/>
            <w:gridSpan w:val="2"/>
            <w:vAlign w:val="center"/>
          </w:tcPr>
          <w:p w14:paraId="55AC4ADC" w14:textId="150FBDD8" w:rsidR="001416EE" w:rsidRPr="007E6380" w:rsidRDefault="007E6380" w:rsidP="008C042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</w:t>
            </w:r>
          </w:p>
        </w:tc>
      </w:tr>
      <w:tr w:rsidR="008C0421" w14:paraId="782591B0" w14:textId="77777777" w:rsidTr="005F263B">
        <w:trPr>
          <w:trHeight w:val="569"/>
        </w:trPr>
        <w:tc>
          <w:tcPr>
            <w:tcW w:w="3831" w:type="dxa"/>
            <w:gridSpan w:val="2"/>
            <w:vAlign w:val="center"/>
          </w:tcPr>
          <w:p w14:paraId="78046BBF" w14:textId="77777777" w:rsidR="008C0421" w:rsidRPr="0090687A" w:rsidRDefault="008C0421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5231" w:type="dxa"/>
            <w:vAlign w:val="center"/>
          </w:tcPr>
          <w:p w14:paraId="5CA6700D" w14:textId="4231D99B" w:rsidR="008C0421" w:rsidRPr="0090687A" w:rsidRDefault="007E6380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</w:t>
            </w:r>
          </w:p>
        </w:tc>
      </w:tr>
      <w:tr w:rsidR="008C0421" w14:paraId="04F98399" w14:textId="77777777" w:rsidTr="005F263B">
        <w:trPr>
          <w:trHeight w:val="698"/>
        </w:trPr>
        <w:tc>
          <w:tcPr>
            <w:tcW w:w="3831" w:type="dxa"/>
            <w:gridSpan w:val="2"/>
            <w:vAlign w:val="center"/>
          </w:tcPr>
          <w:p w14:paraId="54530D83" w14:textId="77777777" w:rsidR="008C0421" w:rsidRPr="0090687A" w:rsidRDefault="008C0421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Data wydania decyzji o pozwoleniu na użytkowanie</w:t>
            </w:r>
          </w:p>
        </w:tc>
        <w:tc>
          <w:tcPr>
            <w:tcW w:w="5231" w:type="dxa"/>
            <w:vAlign w:val="center"/>
          </w:tcPr>
          <w:p w14:paraId="113A4F1B" w14:textId="7FB1E625" w:rsidR="008C0421" w:rsidRPr="0090687A" w:rsidRDefault="007E6380" w:rsidP="008C0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</w:t>
            </w:r>
          </w:p>
        </w:tc>
      </w:tr>
      <w:tr w:rsidR="005F263B" w14:paraId="2200DF9C" w14:textId="77777777" w:rsidTr="005F263B">
        <w:trPr>
          <w:trHeight w:val="546"/>
        </w:trPr>
        <w:tc>
          <w:tcPr>
            <w:tcW w:w="9062" w:type="dxa"/>
            <w:gridSpan w:val="3"/>
            <w:vAlign w:val="center"/>
          </w:tcPr>
          <w:p w14:paraId="03D51E87" w14:textId="0F336BF5" w:rsidR="005F263B" w:rsidRDefault="005F263B" w:rsidP="00565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PRZYKŁAD </w:t>
            </w:r>
            <w:r w:rsidR="008D0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OSTATNIEGO </w:t>
            </w:r>
            <w:r w:rsidRPr="0090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UKOŃCZONEGO PRZEDSIĘWZIĘCIA DEWELOPERSKIEGO</w:t>
            </w:r>
          </w:p>
        </w:tc>
      </w:tr>
      <w:tr w:rsidR="005F263B" w14:paraId="73F6A834" w14:textId="77777777" w:rsidTr="005F263B">
        <w:tc>
          <w:tcPr>
            <w:tcW w:w="1271" w:type="dxa"/>
            <w:vAlign w:val="center"/>
          </w:tcPr>
          <w:p w14:paraId="168F30DA" w14:textId="0FAA2458" w:rsidR="005F263B" w:rsidRPr="0090687A" w:rsidRDefault="005F263B" w:rsidP="005F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7791" w:type="dxa"/>
            <w:gridSpan w:val="2"/>
            <w:vAlign w:val="center"/>
          </w:tcPr>
          <w:p w14:paraId="2507AC81" w14:textId="65C76EA5" w:rsidR="008D03A0" w:rsidRPr="001416EE" w:rsidRDefault="007E6380" w:rsidP="008D03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51D21F" w14:textId="2EECA91A" w:rsidR="007E6380" w:rsidRPr="007E6380" w:rsidRDefault="007E6380" w:rsidP="008D03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</w:t>
            </w:r>
          </w:p>
        </w:tc>
      </w:tr>
      <w:tr w:rsidR="008D03A0" w14:paraId="37AECFF7" w14:textId="77777777" w:rsidTr="005F263B">
        <w:trPr>
          <w:trHeight w:val="416"/>
        </w:trPr>
        <w:tc>
          <w:tcPr>
            <w:tcW w:w="3831" w:type="dxa"/>
            <w:gridSpan w:val="2"/>
            <w:vAlign w:val="center"/>
          </w:tcPr>
          <w:p w14:paraId="589FD4E4" w14:textId="681ACADD" w:rsidR="008D03A0" w:rsidRPr="0090687A" w:rsidRDefault="008D03A0" w:rsidP="008D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5231" w:type="dxa"/>
            <w:vAlign w:val="center"/>
          </w:tcPr>
          <w:p w14:paraId="06B70E5E" w14:textId="65501D11" w:rsidR="008D03A0" w:rsidRDefault="007E6380" w:rsidP="008D0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</w:t>
            </w:r>
          </w:p>
        </w:tc>
      </w:tr>
      <w:tr w:rsidR="008D03A0" w14:paraId="2ADF1F59" w14:textId="77777777" w:rsidTr="00565797">
        <w:tc>
          <w:tcPr>
            <w:tcW w:w="3831" w:type="dxa"/>
            <w:gridSpan w:val="2"/>
            <w:vAlign w:val="center"/>
          </w:tcPr>
          <w:p w14:paraId="486D09D3" w14:textId="0DB88A80" w:rsidR="008D03A0" w:rsidRPr="0090687A" w:rsidRDefault="008D03A0" w:rsidP="008D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Data wydania decyzji o pozwoleniu na użytkowanie</w:t>
            </w:r>
          </w:p>
        </w:tc>
        <w:tc>
          <w:tcPr>
            <w:tcW w:w="5231" w:type="dxa"/>
            <w:vAlign w:val="center"/>
          </w:tcPr>
          <w:p w14:paraId="1A1ECE5A" w14:textId="0E07D365" w:rsidR="008D03A0" w:rsidRDefault="007E6380" w:rsidP="008D0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</w:t>
            </w:r>
          </w:p>
        </w:tc>
      </w:tr>
    </w:tbl>
    <w:p w14:paraId="19EDB2BD" w14:textId="77777777" w:rsidR="001416EE" w:rsidRDefault="001416EE" w:rsidP="007D7C1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87A" w14:paraId="46F6DED9" w14:textId="77777777" w:rsidTr="0090687A">
        <w:tc>
          <w:tcPr>
            <w:tcW w:w="4531" w:type="dxa"/>
          </w:tcPr>
          <w:p w14:paraId="0223A6CD" w14:textId="44FC4343" w:rsidR="0090687A" w:rsidRPr="0090687A" w:rsidRDefault="0090687A" w:rsidP="007D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hAnsi="Times New Roman" w:cs="Times New Roman"/>
                <w:sz w:val="24"/>
                <w:szCs w:val="24"/>
              </w:rPr>
              <w:t>Czy przeciwko deweloperowi prowadzono lub prowadzi się postępowanie egzekucyjne na kwotę wyższą niż 100 000 zł</w:t>
            </w:r>
          </w:p>
        </w:tc>
        <w:tc>
          <w:tcPr>
            <w:tcW w:w="4531" w:type="dxa"/>
            <w:vAlign w:val="center"/>
          </w:tcPr>
          <w:p w14:paraId="2CC2C471" w14:textId="653B7C48" w:rsidR="0090687A" w:rsidRPr="00CD0684" w:rsidRDefault="0090687A" w:rsidP="007D7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</w:tbl>
    <w:p w14:paraId="4E50123B" w14:textId="77777777" w:rsidR="001416EE" w:rsidRDefault="001416EE" w:rsidP="007D7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DF1E4C" w14:textId="27597332" w:rsidR="00CD0684" w:rsidRPr="00BC40C3" w:rsidRDefault="00CD0684" w:rsidP="00CD06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Informacje dotyczące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971"/>
      </w:tblGrid>
      <w:tr w:rsidR="00CD0684" w14:paraId="3AA7E0E3" w14:textId="77777777" w:rsidTr="00BC40C3">
        <w:trPr>
          <w:trHeight w:val="808"/>
        </w:trPr>
        <w:tc>
          <w:tcPr>
            <w:tcW w:w="9062" w:type="dxa"/>
            <w:gridSpan w:val="3"/>
            <w:vAlign w:val="center"/>
          </w:tcPr>
          <w:p w14:paraId="3B154940" w14:textId="724A2D44" w:rsidR="00CD0684" w:rsidRPr="00CD0684" w:rsidRDefault="00CD0684" w:rsidP="00BC4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DOTYCZĄCE GRUNTU I ZAGOSPODAROWANIA PRZESTRZENNEGO TERENU</w:t>
            </w:r>
          </w:p>
        </w:tc>
      </w:tr>
      <w:tr w:rsidR="00CD0684" w14:paraId="124A67F5" w14:textId="77777777" w:rsidTr="00CE61A2">
        <w:trPr>
          <w:trHeight w:val="757"/>
        </w:trPr>
        <w:tc>
          <w:tcPr>
            <w:tcW w:w="3397" w:type="dxa"/>
            <w:vAlign w:val="center"/>
          </w:tcPr>
          <w:p w14:paraId="556B3443" w14:textId="74480242" w:rsidR="00CD0684" w:rsidRPr="005F263B" w:rsidRDefault="00CD0684" w:rsidP="00CD0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B">
              <w:rPr>
                <w:rFonts w:ascii="Times New Roman" w:hAnsi="Times New Roman" w:cs="Times New Roman"/>
                <w:sz w:val="20"/>
                <w:szCs w:val="20"/>
              </w:rPr>
              <w:t>Adres, numer działki ewidencyjnej i numer obrębu ewidencyjnego</w:t>
            </w:r>
            <w:r w:rsidR="00876D6F" w:rsidRPr="005F263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5665" w:type="dxa"/>
            <w:gridSpan w:val="2"/>
            <w:vAlign w:val="center"/>
          </w:tcPr>
          <w:p w14:paraId="5D5EA0C4" w14:textId="241DFAFB" w:rsidR="00CD0684" w:rsidRPr="005F263B" w:rsidRDefault="00CD0684" w:rsidP="00CD06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Przedsięwzięci deweloperskie realizowane jest na działkach nr </w:t>
            </w:r>
            <w:r w:rsidR="00D4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1130/19, </w:t>
            </w:r>
            <w:r w:rsidR="008C0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1129/6 </w:t>
            </w:r>
            <w:r w:rsidRPr="005F2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obręb 00</w:t>
            </w:r>
            <w:r w:rsidR="003D0B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5F2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C0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Zielonki</w:t>
            </w:r>
            <w:r w:rsidRPr="005F2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gmina Zielonki</w:t>
            </w:r>
          </w:p>
        </w:tc>
      </w:tr>
      <w:tr w:rsidR="00CD0684" w14:paraId="4EC1D82F" w14:textId="77777777" w:rsidTr="005F263B">
        <w:trPr>
          <w:trHeight w:val="473"/>
        </w:trPr>
        <w:tc>
          <w:tcPr>
            <w:tcW w:w="3397" w:type="dxa"/>
            <w:vAlign w:val="center"/>
          </w:tcPr>
          <w:p w14:paraId="4B82D2EF" w14:textId="646D72FB" w:rsidR="00CD0684" w:rsidRDefault="00CD0684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684">
              <w:rPr>
                <w:rFonts w:ascii="Times New Roman" w:hAnsi="Times New Roman" w:cs="Times New Roman"/>
                <w:sz w:val="24"/>
                <w:szCs w:val="24"/>
              </w:rPr>
              <w:t>Numer Księgi Wieczystej</w:t>
            </w:r>
          </w:p>
        </w:tc>
        <w:tc>
          <w:tcPr>
            <w:tcW w:w="5665" w:type="dxa"/>
            <w:gridSpan w:val="2"/>
            <w:vAlign w:val="center"/>
          </w:tcPr>
          <w:p w14:paraId="3F94E92A" w14:textId="2C0CD1AF" w:rsidR="00CD0684" w:rsidRDefault="003D0BB7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KR1P/00</w:t>
            </w:r>
            <w:r w:rsid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699100</w:t>
            </w:r>
            <w:r w:rsidRPr="003D0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 KR1P/00703146/8 </w:t>
            </w:r>
          </w:p>
        </w:tc>
      </w:tr>
      <w:tr w:rsidR="00CD0684" w14:paraId="6A9B656C" w14:textId="77777777" w:rsidTr="005F263B">
        <w:trPr>
          <w:trHeight w:val="1037"/>
        </w:trPr>
        <w:tc>
          <w:tcPr>
            <w:tcW w:w="3397" w:type="dxa"/>
            <w:vAlign w:val="center"/>
          </w:tcPr>
          <w:p w14:paraId="7D8F5A70" w14:textId="59BCE51F" w:rsidR="00CD0684" w:rsidRPr="005F263B" w:rsidRDefault="00CD0684" w:rsidP="00FA4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B">
              <w:rPr>
                <w:rFonts w:ascii="Times New Roman" w:hAnsi="Times New Roman" w:cs="Times New Roman"/>
                <w:sz w:val="20"/>
                <w:szCs w:val="20"/>
              </w:rPr>
              <w:t xml:space="preserve">Istniejące obciążenia </w:t>
            </w:r>
            <w:r w:rsidR="00FA4D29" w:rsidRPr="005F263B">
              <w:rPr>
                <w:rFonts w:ascii="Times New Roman" w:hAnsi="Times New Roman" w:cs="Times New Roman"/>
                <w:sz w:val="20"/>
                <w:szCs w:val="20"/>
              </w:rPr>
              <w:t>hipoteczne nieruchomości lub wnioski o wpis w dziale czwartym księgi wieczystej</w:t>
            </w:r>
          </w:p>
        </w:tc>
        <w:tc>
          <w:tcPr>
            <w:tcW w:w="5665" w:type="dxa"/>
            <w:gridSpan w:val="2"/>
            <w:vAlign w:val="center"/>
          </w:tcPr>
          <w:p w14:paraId="707F9C48" w14:textId="6CB56FEA" w:rsidR="00CD0684" w:rsidRPr="00FA4D29" w:rsidRDefault="00FA4D29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FA4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</w:t>
            </w:r>
          </w:p>
        </w:tc>
      </w:tr>
      <w:tr w:rsidR="00FA4D29" w14:paraId="78AD229D" w14:textId="77777777" w:rsidTr="005F263B">
        <w:trPr>
          <w:trHeight w:val="980"/>
        </w:trPr>
        <w:tc>
          <w:tcPr>
            <w:tcW w:w="3397" w:type="dxa"/>
            <w:vAlign w:val="center"/>
          </w:tcPr>
          <w:p w14:paraId="668ED665" w14:textId="05FF7100" w:rsidR="00FA4D29" w:rsidRPr="005F263B" w:rsidRDefault="00FA4D29" w:rsidP="00FA4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63B">
              <w:rPr>
                <w:rFonts w:ascii="Times New Roman" w:hAnsi="Times New Roman" w:cs="Times New Roman"/>
                <w:sz w:val="20"/>
                <w:szCs w:val="20"/>
              </w:rPr>
              <w:t>W przypadku braku księgi wieczystej informacja o powierzchni działki i stanie prawnym nieruchomości</w:t>
            </w:r>
            <w:r w:rsidR="00876D6F" w:rsidRPr="005F263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5665" w:type="dxa"/>
            <w:gridSpan w:val="2"/>
            <w:vAlign w:val="center"/>
          </w:tcPr>
          <w:p w14:paraId="426A0776" w14:textId="114C4D37" w:rsidR="00FA4D29" w:rsidRPr="00FA4D29" w:rsidRDefault="00FA4D29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dotyczy</w:t>
            </w:r>
          </w:p>
        </w:tc>
      </w:tr>
      <w:tr w:rsidR="00FA4D29" w14:paraId="26FD0CCA" w14:textId="77777777" w:rsidTr="00876D6F">
        <w:tc>
          <w:tcPr>
            <w:tcW w:w="3397" w:type="dxa"/>
          </w:tcPr>
          <w:p w14:paraId="2515DEB1" w14:textId="411B5A0D" w:rsidR="00FA4D29" w:rsidRPr="005F263B" w:rsidRDefault="00FA4D29" w:rsidP="00FA4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B">
              <w:rPr>
                <w:rFonts w:ascii="Times New Roman" w:hAnsi="Times New Roman" w:cs="Times New Roman"/>
                <w:sz w:val="20"/>
                <w:szCs w:val="20"/>
              </w:rPr>
              <w:t>Informacje dotyczące obiektów istniejących położonych w sąsiedztwie inwestycji wpływających na warunki życia</w:t>
            </w:r>
            <w:r w:rsidR="00876D6F" w:rsidRPr="005F263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5665" w:type="dxa"/>
            <w:gridSpan w:val="2"/>
            <w:vAlign w:val="center"/>
          </w:tcPr>
          <w:p w14:paraId="33783E5C" w14:textId="244D0B59" w:rsidR="00FA4D29" w:rsidRPr="00066346" w:rsidRDefault="003D0BB7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Wolbromska</w:t>
            </w:r>
            <w:r w:rsidR="00D4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Północna obwodnica Krakowa</w:t>
            </w:r>
          </w:p>
        </w:tc>
      </w:tr>
      <w:tr w:rsidR="001167EC" w14:paraId="0BBD432F" w14:textId="77777777" w:rsidTr="00F02C75">
        <w:trPr>
          <w:trHeight w:val="370"/>
        </w:trPr>
        <w:tc>
          <w:tcPr>
            <w:tcW w:w="3397" w:type="dxa"/>
            <w:vMerge w:val="restart"/>
            <w:vAlign w:val="center"/>
          </w:tcPr>
          <w:p w14:paraId="54E07228" w14:textId="5B593B2D" w:rsidR="001167EC" w:rsidRPr="005F263B" w:rsidRDefault="001167EC" w:rsidP="001167E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3B">
              <w:rPr>
                <w:rFonts w:ascii="Times New Roman" w:hAnsi="Times New Roman" w:cs="Times New Roman"/>
                <w:sz w:val="20"/>
                <w:szCs w:val="20"/>
              </w:rPr>
              <w:t>Akty planowania przestrzennego i inne akty prawne na terenie objętym przedsięwzięciem deweloperskim lub zadaniem inwestycyjnym</w:t>
            </w:r>
          </w:p>
        </w:tc>
        <w:tc>
          <w:tcPr>
            <w:tcW w:w="2694" w:type="dxa"/>
            <w:vAlign w:val="center"/>
          </w:tcPr>
          <w:p w14:paraId="41883B07" w14:textId="786404BB" w:rsidR="001167EC" w:rsidRPr="001167EC" w:rsidRDefault="00F02C75" w:rsidP="001167E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ogólny gminy</w:t>
            </w:r>
          </w:p>
        </w:tc>
        <w:tc>
          <w:tcPr>
            <w:tcW w:w="2971" w:type="dxa"/>
            <w:vAlign w:val="center"/>
          </w:tcPr>
          <w:p w14:paraId="224D54DC" w14:textId="389DBB2D" w:rsidR="001167EC" w:rsidRPr="001167EC" w:rsidRDefault="00F02C75" w:rsidP="001167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Brak uchwalonego planu ogólnego</w:t>
            </w:r>
          </w:p>
        </w:tc>
      </w:tr>
      <w:tr w:rsidR="001167EC" w14:paraId="597B0441" w14:textId="77777777" w:rsidTr="00876D6F">
        <w:trPr>
          <w:trHeight w:val="1132"/>
        </w:trPr>
        <w:tc>
          <w:tcPr>
            <w:tcW w:w="3397" w:type="dxa"/>
            <w:vMerge/>
            <w:vAlign w:val="center"/>
          </w:tcPr>
          <w:p w14:paraId="76C70B95" w14:textId="77777777" w:rsidR="001167EC" w:rsidRDefault="001167EC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D144518" w14:textId="75F1C5F4" w:rsidR="001167EC" w:rsidRPr="001167EC" w:rsidRDefault="001167EC" w:rsidP="00CD06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7EC">
              <w:rPr>
                <w:rFonts w:ascii="Times New Roman" w:hAnsi="Times New Roman" w:cs="Times New Roman"/>
                <w:sz w:val="20"/>
                <w:szCs w:val="20"/>
              </w:rPr>
              <w:t>Miejscowy plan zagospodarowania przestrzennego</w:t>
            </w:r>
          </w:p>
        </w:tc>
        <w:tc>
          <w:tcPr>
            <w:tcW w:w="2971" w:type="dxa"/>
            <w:vMerge w:val="restart"/>
            <w:vAlign w:val="center"/>
          </w:tcPr>
          <w:p w14:paraId="1DAB8E33" w14:textId="7B4D7194" w:rsidR="001167EC" w:rsidRPr="00F02C75" w:rsidRDefault="00D41F23" w:rsidP="000663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Uchwała Rady Gminy Zielonki nr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dnia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czerwca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roku, zmienionym uchwałą nr XIV/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F02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/2020 Rady Gminy Zielonki z dnia 30 stycznia 2020 roku</w:t>
            </w:r>
          </w:p>
        </w:tc>
      </w:tr>
      <w:tr w:rsidR="001167EC" w14:paraId="657DE035" w14:textId="77777777" w:rsidTr="00876D6F">
        <w:trPr>
          <w:trHeight w:val="566"/>
        </w:trPr>
        <w:tc>
          <w:tcPr>
            <w:tcW w:w="3397" w:type="dxa"/>
            <w:vMerge/>
            <w:vAlign w:val="center"/>
          </w:tcPr>
          <w:p w14:paraId="06F0B868" w14:textId="77777777" w:rsidR="001167EC" w:rsidRDefault="001167EC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BDF1F88" w14:textId="1B66D303" w:rsidR="001167EC" w:rsidRPr="001167EC" w:rsidRDefault="001167EC" w:rsidP="00CD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EC">
              <w:rPr>
                <w:rFonts w:ascii="Times New Roman" w:hAnsi="Times New Roman" w:cs="Times New Roman"/>
                <w:sz w:val="20"/>
                <w:szCs w:val="20"/>
              </w:rPr>
              <w:t xml:space="preserve">Miejscowy plan odbudowy </w:t>
            </w:r>
          </w:p>
        </w:tc>
        <w:tc>
          <w:tcPr>
            <w:tcW w:w="2971" w:type="dxa"/>
            <w:vMerge/>
            <w:vAlign w:val="center"/>
          </w:tcPr>
          <w:p w14:paraId="19C995A0" w14:textId="77777777" w:rsidR="001167EC" w:rsidRDefault="001167EC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67EC" w14:paraId="400FA424" w14:textId="77777777" w:rsidTr="00876D6F">
        <w:trPr>
          <w:trHeight w:val="546"/>
        </w:trPr>
        <w:tc>
          <w:tcPr>
            <w:tcW w:w="3397" w:type="dxa"/>
            <w:vMerge/>
            <w:vAlign w:val="center"/>
          </w:tcPr>
          <w:p w14:paraId="290F3D3A" w14:textId="77777777" w:rsidR="001167EC" w:rsidRDefault="001167EC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8ACAA18" w14:textId="479657C7" w:rsidR="001167EC" w:rsidRPr="001167EC" w:rsidRDefault="001167EC" w:rsidP="00CD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EC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="00876D6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2971" w:type="dxa"/>
            <w:vMerge/>
            <w:vAlign w:val="center"/>
          </w:tcPr>
          <w:p w14:paraId="23063443" w14:textId="77777777" w:rsidR="001167EC" w:rsidRDefault="001167EC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2246" w14:paraId="668DE32A" w14:textId="77777777" w:rsidTr="00F02C75">
        <w:trPr>
          <w:trHeight w:val="553"/>
        </w:trPr>
        <w:tc>
          <w:tcPr>
            <w:tcW w:w="3397" w:type="dxa"/>
            <w:vMerge w:val="restart"/>
            <w:vAlign w:val="center"/>
          </w:tcPr>
          <w:p w14:paraId="3F4C95C4" w14:textId="4B70E88A" w:rsidR="00EB2246" w:rsidRDefault="00EB2246" w:rsidP="00E573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Ustalenia obowiązującego miejscowego planu zagospodarowania przestrzennego dla terenu objętego przedsięwzięciem deweloperskim lub zadaniem inwestycyjnym</w:t>
            </w:r>
          </w:p>
        </w:tc>
        <w:tc>
          <w:tcPr>
            <w:tcW w:w="2694" w:type="dxa"/>
            <w:vAlign w:val="center"/>
          </w:tcPr>
          <w:p w14:paraId="781A5997" w14:textId="1C198E26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346">
              <w:rPr>
                <w:rFonts w:ascii="Times New Roman" w:hAnsi="Times New Roman" w:cs="Times New Roman"/>
                <w:sz w:val="20"/>
                <w:szCs w:val="20"/>
              </w:rPr>
              <w:t>Przeznaczenie terenu</w:t>
            </w:r>
          </w:p>
        </w:tc>
        <w:tc>
          <w:tcPr>
            <w:tcW w:w="2971" w:type="dxa"/>
            <w:vAlign w:val="center"/>
          </w:tcPr>
          <w:p w14:paraId="25EBEA72" w14:textId="1B27EC15" w:rsidR="00EB2246" w:rsidRPr="00737527" w:rsidRDefault="003D0BB7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EB2246" w:rsidRPr="00737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.MN.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2246" w14:paraId="78CC2256" w14:textId="77777777" w:rsidTr="00CE61A2">
        <w:trPr>
          <w:trHeight w:val="560"/>
        </w:trPr>
        <w:tc>
          <w:tcPr>
            <w:tcW w:w="3397" w:type="dxa"/>
            <w:vMerge/>
            <w:vAlign w:val="center"/>
          </w:tcPr>
          <w:p w14:paraId="6C50B499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F2D3276" w14:textId="41D02FEE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Maksymalna </w:t>
            </w:r>
            <w:r w:rsidR="00F02C75">
              <w:rPr>
                <w:rFonts w:ascii="Times New Roman" w:hAnsi="Times New Roman" w:cs="Times New Roman"/>
                <w:sz w:val="20"/>
                <w:szCs w:val="20"/>
              </w:rPr>
              <w:t>intensywność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zabudowy</w:t>
            </w:r>
          </w:p>
        </w:tc>
        <w:tc>
          <w:tcPr>
            <w:tcW w:w="2971" w:type="dxa"/>
            <w:vAlign w:val="center"/>
          </w:tcPr>
          <w:p w14:paraId="33F5D3D3" w14:textId="06370862" w:rsidR="00EB2246" w:rsidRPr="00737527" w:rsidRDefault="00F02C75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 współczynnika intensywności w MPZP</w:t>
            </w:r>
          </w:p>
        </w:tc>
      </w:tr>
      <w:tr w:rsidR="00F02C75" w14:paraId="40369D6E" w14:textId="77777777" w:rsidTr="00CE61A2">
        <w:trPr>
          <w:trHeight w:val="852"/>
        </w:trPr>
        <w:tc>
          <w:tcPr>
            <w:tcW w:w="3397" w:type="dxa"/>
            <w:vMerge/>
            <w:vAlign w:val="center"/>
          </w:tcPr>
          <w:p w14:paraId="3A25FB45" w14:textId="77777777" w:rsidR="00F02C75" w:rsidRDefault="00F02C75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E254FDF" w14:textId="29F4A5EF" w:rsidR="00F02C75" w:rsidRDefault="00F02C75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i minimalna naziemna intensywność zabudowy</w:t>
            </w:r>
          </w:p>
        </w:tc>
        <w:tc>
          <w:tcPr>
            <w:tcW w:w="2971" w:type="dxa"/>
            <w:vAlign w:val="center"/>
          </w:tcPr>
          <w:p w14:paraId="5875F4A1" w14:textId="5B5F6A50" w:rsidR="00F02C75" w:rsidRDefault="00F02C75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 współczynnika intensywności w MPZP</w:t>
            </w:r>
          </w:p>
        </w:tc>
      </w:tr>
      <w:tr w:rsidR="00F02C75" w14:paraId="7D7F3785" w14:textId="77777777" w:rsidTr="00F02C75">
        <w:trPr>
          <w:trHeight w:val="556"/>
        </w:trPr>
        <w:tc>
          <w:tcPr>
            <w:tcW w:w="3397" w:type="dxa"/>
            <w:vMerge/>
            <w:vAlign w:val="center"/>
          </w:tcPr>
          <w:p w14:paraId="4C191C76" w14:textId="77777777" w:rsidR="00F02C75" w:rsidRDefault="00F02C75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A65BD3F" w14:textId="7A5356DC" w:rsidR="00F02C75" w:rsidRDefault="00F02C75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powierzchnia zabudowy</w:t>
            </w:r>
          </w:p>
        </w:tc>
        <w:tc>
          <w:tcPr>
            <w:tcW w:w="2971" w:type="dxa"/>
            <w:vAlign w:val="center"/>
          </w:tcPr>
          <w:p w14:paraId="2C1A06AF" w14:textId="5782098E" w:rsidR="00F02C75" w:rsidRDefault="00F02C75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EB2246" w14:paraId="5A45AE96" w14:textId="77777777" w:rsidTr="00F02C75">
        <w:trPr>
          <w:trHeight w:val="556"/>
        </w:trPr>
        <w:tc>
          <w:tcPr>
            <w:tcW w:w="3397" w:type="dxa"/>
            <w:vMerge/>
            <w:vAlign w:val="center"/>
          </w:tcPr>
          <w:p w14:paraId="4A4E3188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4CF04A6" w14:textId="40A82254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wysokość zabudowy</w:t>
            </w:r>
          </w:p>
        </w:tc>
        <w:tc>
          <w:tcPr>
            <w:tcW w:w="2971" w:type="dxa"/>
            <w:vAlign w:val="center"/>
          </w:tcPr>
          <w:p w14:paraId="04F230C5" w14:textId="28443D40" w:rsidR="00EB2246" w:rsidRPr="00737527" w:rsidRDefault="00EB2246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metrów</w:t>
            </w:r>
          </w:p>
        </w:tc>
      </w:tr>
      <w:tr w:rsidR="00EB2246" w14:paraId="7394FEFB" w14:textId="77777777" w:rsidTr="00CE61A2">
        <w:trPr>
          <w:trHeight w:val="841"/>
        </w:trPr>
        <w:tc>
          <w:tcPr>
            <w:tcW w:w="3397" w:type="dxa"/>
            <w:vMerge/>
            <w:vAlign w:val="center"/>
          </w:tcPr>
          <w:p w14:paraId="3E479319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AE3016B" w14:textId="261BD809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Minimalny udział procentowy powierzchni biologicznie czynnej</w:t>
            </w:r>
          </w:p>
        </w:tc>
        <w:tc>
          <w:tcPr>
            <w:tcW w:w="2971" w:type="dxa"/>
            <w:vAlign w:val="center"/>
          </w:tcPr>
          <w:p w14:paraId="51BA4FD2" w14:textId="33CA8D3F" w:rsidR="00EB2246" w:rsidRPr="00737527" w:rsidRDefault="00EB2246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</w:tr>
      <w:tr w:rsidR="00EB2246" w14:paraId="2039647F" w14:textId="77777777" w:rsidTr="00F02C75">
        <w:trPr>
          <w:trHeight w:val="702"/>
        </w:trPr>
        <w:tc>
          <w:tcPr>
            <w:tcW w:w="3397" w:type="dxa"/>
            <w:vMerge/>
            <w:vAlign w:val="center"/>
          </w:tcPr>
          <w:p w14:paraId="1F28C962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AC28239" w14:textId="0DE8D6AE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Minimalna ilość miejsc do parkowania </w:t>
            </w:r>
          </w:p>
        </w:tc>
        <w:tc>
          <w:tcPr>
            <w:tcW w:w="2971" w:type="dxa"/>
            <w:vAlign w:val="center"/>
          </w:tcPr>
          <w:p w14:paraId="130ACBCE" w14:textId="3C96732A" w:rsidR="00EB2246" w:rsidRPr="00737527" w:rsidRDefault="00EB2246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miejsca postojowe </w:t>
            </w:r>
          </w:p>
        </w:tc>
      </w:tr>
      <w:tr w:rsidR="00EB2246" w14:paraId="71AE3F78" w14:textId="77777777" w:rsidTr="00F02C75">
        <w:trPr>
          <w:trHeight w:val="981"/>
        </w:trPr>
        <w:tc>
          <w:tcPr>
            <w:tcW w:w="3397" w:type="dxa"/>
            <w:vMerge/>
            <w:vAlign w:val="center"/>
          </w:tcPr>
          <w:p w14:paraId="54D11AA0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4F758B1" w14:textId="38C867DA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 ochrony środowiska i zdrowia, ludzi, przyrody i krajobrazu</w:t>
            </w:r>
          </w:p>
        </w:tc>
        <w:tc>
          <w:tcPr>
            <w:tcW w:w="2971" w:type="dxa"/>
            <w:vAlign w:val="center"/>
          </w:tcPr>
          <w:p w14:paraId="50128612" w14:textId="3B36ED07" w:rsidR="00EB2246" w:rsidRPr="00737527" w:rsidRDefault="00EB2246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</w:t>
            </w:r>
          </w:p>
        </w:tc>
      </w:tr>
      <w:tr w:rsidR="00EB2246" w14:paraId="3CF507EA" w14:textId="77777777" w:rsidTr="00F02C75">
        <w:trPr>
          <w:trHeight w:val="1512"/>
        </w:trPr>
        <w:tc>
          <w:tcPr>
            <w:tcW w:w="3397" w:type="dxa"/>
            <w:vMerge/>
            <w:vAlign w:val="center"/>
          </w:tcPr>
          <w:p w14:paraId="44C5E41E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6CD20BF" w14:textId="43055AA4" w:rsidR="00EB2246" w:rsidRPr="00066346" w:rsidRDefault="00EB2246" w:rsidP="007375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2971" w:type="dxa"/>
            <w:vAlign w:val="center"/>
          </w:tcPr>
          <w:p w14:paraId="366E3506" w14:textId="2ACE880D" w:rsidR="00EB2246" w:rsidRPr="00737527" w:rsidRDefault="00EB2246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dotyczy</w:t>
            </w:r>
          </w:p>
        </w:tc>
      </w:tr>
      <w:tr w:rsidR="00EB2246" w14:paraId="74B08CB9" w14:textId="77777777" w:rsidTr="00CE61A2">
        <w:trPr>
          <w:trHeight w:val="1009"/>
        </w:trPr>
        <w:tc>
          <w:tcPr>
            <w:tcW w:w="3397" w:type="dxa"/>
            <w:vMerge/>
          </w:tcPr>
          <w:p w14:paraId="1F3D6298" w14:textId="77777777" w:rsidR="00EB2246" w:rsidRPr="00CF7055" w:rsidRDefault="00EB2246" w:rsidP="00CD0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0FC18BE" w14:textId="01F183AE" w:rsidR="00EB2246" w:rsidRPr="00CF7055" w:rsidRDefault="00EB2246" w:rsidP="00CD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055">
              <w:rPr>
                <w:rFonts w:ascii="Times New Roman" w:hAnsi="Times New Roman" w:cs="Times New Roman"/>
                <w:sz w:val="20"/>
                <w:szCs w:val="20"/>
              </w:rPr>
              <w:t>Warunki ochrony dziedzictwa kulturowego i zabytków i zabytków oraz dobór kultury współcze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snej</w:t>
            </w:r>
          </w:p>
        </w:tc>
        <w:tc>
          <w:tcPr>
            <w:tcW w:w="2971" w:type="dxa"/>
            <w:vAlign w:val="center"/>
          </w:tcPr>
          <w:p w14:paraId="324DFB5A" w14:textId="57B51D43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dotyczy</w:t>
            </w:r>
          </w:p>
        </w:tc>
      </w:tr>
      <w:tr w:rsidR="00EB2246" w14:paraId="10A909E7" w14:textId="77777777" w:rsidTr="00F02C75">
        <w:trPr>
          <w:trHeight w:val="1461"/>
        </w:trPr>
        <w:tc>
          <w:tcPr>
            <w:tcW w:w="3397" w:type="dxa"/>
            <w:vMerge/>
          </w:tcPr>
          <w:p w14:paraId="34139E07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FA24017" w14:textId="2039A7C2" w:rsidR="00EB2246" w:rsidRPr="00CF7055" w:rsidRDefault="00EB2246" w:rsidP="00CF70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055">
              <w:rPr>
                <w:rFonts w:ascii="Times New Roman" w:hAnsi="Times New Roman" w:cs="Times New Roman"/>
                <w:sz w:val="20"/>
                <w:szCs w:val="20"/>
              </w:rPr>
              <w:t xml:space="preserve">Wymagania dotyczące ochrony innych terenów lub obiektów podlegających ochronie na podstawie przepisów odrębnych </w:t>
            </w:r>
          </w:p>
        </w:tc>
        <w:tc>
          <w:tcPr>
            <w:tcW w:w="2971" w:type="dxa"/>
            <w:vAlign w:val="center"/>
          </w:tcPr>
          <w:p w14:paraId="3E81B27C" w14:textId="09B7DF22" w:rsidR="00EB2246" w:rsidRPr="00CF7055" w:rsidRDefault="00EB2246" w:rsidP="00CF70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</w:t>
            </w:r>
          </w:p>
        </w:tc>
      </w:tr>
      <w:tr w:rsidR="00EB2246" w14:paraId="6B9CB338" w14:textId="77777777" w:rsidTr="00F02C75">
        <w:trPr>
          <w:trHeight w:val="971"/>
        </w:trPr>
        <w:tc>
          <w:tcPr>
            <w:tcW w:w="3397" w:type="dxa"/>
            <w:vMerge/>
          </w:tcPr>
          <w:p w14:paraId="3FEDA801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B52F3F9" w14:textId="52647171" w:rsidR="00EB2246" w:rsidRPr="00CF7055" w:rsidRDefault="00EB2246" w:rsidP="00CF70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055">
              <w:rPr>
                <w:rFonts w:ascii="Times New Roman" w:hAnsi="Times New Roman" w:cs="Times New Roman"/>
                <w:sz w:val="20"/>
                <w:szCs w:val="20"/>
              </w:rPr>
              <w:t>Warunki szczegółowe zasady obsługi w zakresie komunikacji</w:t>
            </w:r>
          </w:p>
        </w:tc>
        <w:tc>
          <w:tcPr>
            <w:tcW w:w="2971" w:type="dxa"/>
            <w:vAlign w:val="center"/>
          </w:tcPr>
          <w:p w14:paraId="5866677B" w14:textId="08651D72" w:rsidR="00EB2246" w:rsidRPr="00CF7055" w:rsidRDefault="00EB2246" w:rsidP="00CF70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</w:t>
            </w:r>
          </w:p>
        </w:tc>
      </w:tr>
      <w:tr w:rsidR="00EB2246" w14:paraId="0D4A1F47" w14:textId="77777777" w:rsidTr="00F02C75">
        <w:trPr>
          <w:trHeight w:val="842"/>
        </w:trPr>
        <w:tc>
          <w:tcPr>
            <w:tcW w:w="3397" w:type="dxa"/>
            <w:vMerge/>
          </w:tcPr>
          <w:p w14:paraId="75946DDE" w14:textId="77777777" w:rsidR="00EB2246" w:rsidRDefault="00EB2246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A47C7AC" w14:textId="7156DE55" w:rsidR="00EB2246" w:rsidRPr="00CF7055" w:rsidRDefault="00EB2246" w:rsidP="00CF70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 szczegółowe zasady obsługi w zakresie infrastruktury technicznej</w:t>
            </w:r>
          </w:p>
        </w:tc>
        <w:tc>
          <w:tcPr>
            <w:tcW w:w="2971" w:type="dxa"/>
            <w:vAlign w:val="center"/>
          </w:tcPr>
          <w:p w14:paraId="0EC3EC3A" w14:textId="44A7C157" w:rsidR="00EB2246" w:rsidRPr="00CF7055" w:rsidRDefault="00EB2246" w:rsidP="00CF70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Brak</w:t>
            </w:r>
          </w:p>
        </w:tc>
      </w:tr>
    </w:tbl>
    <w:p w14:paraId="20472D56" w14:textId="77777777" w:rsidR="00F02C75" w:rsidRDefault="00F02C75" w:rsidP="00CD06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2531"/>
        <w:gridCol w:w="3538"/>
      </w:tblGrid>
      <w:tr w:rsidR="00EB2246" w14:paraId="33872661" w14:textId="77777777" w:rsidTr="00FE7480">
        <w:trPr>
          <w:trHeight w:val="557"/>
        </w:trPr>
        <w:tc>
          <w:tcPr>
            <w:tcW w:w="2993" w:type="dxa"/>
            <w:vMerge w:val="restart"/>
            <w:vAlign w:val="center"/>
          </w:tcPr>
          <w:p w14:paraId="5EDE169A" w14:textId="7DEE3C54" w:rsidR="00EB2246" w:rsidRDefault="00EB2246" w:rsidP="009D59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246">
              <w:rPr>
                <w:rFonts w:ascii="Times New Roman" w:hAnsi="Times New Roman" w:cs="Times New Roman"/>
                <w:sz w:val="24"/>
                <w:szCs w:val="24"/>
              </w:rPr>
              <w:t>Ustalenia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obowiązującego planu zagospodarowania przestrzennego dla działek lub ich fragmentów, znajdujących się w odległości do 100m od granicy terenu objętego przedsięwzięciem deweloperskim lub zadaniem inwestycyjnym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531" w:type="dxa"/>
            <w:vAlign w:val="center"/>
          </w:tcPr>
          <w:p w14:paraId="091608C9" w14:textId="38DF3789" w:rsidR="00EB2246" w:rsidRPr="00EB2246" w:rsidRDefault="00EB2246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246">
              <w:rPr>
                <w:rFonts w:ascii="Times New Roman" w:hAnsi="Times New Roman" w:cs="Times New Roman"/>
                <w:sz w:val="20"/>
                <w:szCs w:val="20"/>
              </w:rPr>
              <w:t>Przeznaczenie terenu</w:t>
            </w:r>
          </w:p>
        </w:tc>
        <w:tc>
          <w:tcPr>
            <w:tcW w:w="3538" w:type="dxa"/>
          </w:tcPr>
          <w:p w14:paraId="312F87AE" w14:textId="77777777" w:rsidR="00EB2246" w:rsidRPr="006D29D3" w:rsidRDefault="006D29D3" w:rsidP="006D29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 xml:space="preserve"> – Terenu zabudowy mieszkaniowej jednorodzinnej</w:t>
            </w:r>
          </w:p>
          <w:p w14:paraId="48390909" w14:textId="77777777" w:rsidR="006D29D3" w:rsidRPr="006D29D3" w:rsidRDefault="006D29D3" w:rsidP="006D29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Tereny zabudowy usługowej</w:t>
            </w:r>
          </w:p>
          <w:p w14:paraId="2D5BBDA5" w14:textId="1C960396" w:rsidR="006D29D3" w:rsidRPr="006D29D3" w:rsidRDefault="006D29D3" w:rsidP="006D29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Tereny zieleni strefowej</w:t>
            </w:r>
          </w:p>
        </w:tc>
      </w:tr>
      <w:tr w:rsidR="00F02C75" w14:paraId="05C8AC19" w14:textId="77777777" w:rsidTr="00FE7480">
        <w:trPr>
          <w:trHeight w:val="702"/>
        </w:trPr>
        <w:tc>
          <w:tcPr>
            <w:tcW w:w="2993" w:type="dxa"/>
            <w:vMerge/>
          </w:tcPr>
          <w:p w14:paraId="4EF1BDFA" w14:textId="77777777" w:rsidR="00F02C75" w:rsidRDefault="00F02C75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2B120BC2" w14:textId="55E17E53" w:rsidR="00F02C75" w:rsidRDefault="00F02C75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intensywność zabudowy</w:t>
            </w:r>
          </w:p>
        </w:tc>
        <w:tc>
          <w:tcPr>
            <w:tcW w:w="3538" w:type="dxa"/>
            <w:vAlign w:val="center"/>
          </w:tcPr>
          <w:p w14:paraId="6E59CADE" w14:textId="02A0E4BA" w:rsidR="00F02C75" w:rsidRPr="006D29D3" w:rsidRDefault="00F02C75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B2246" w14:paraId="1A55DAA7" w14:textId="77777777" w:rsidTr="00FE7480">
        <w:trPr>
          <w:trHeight w:val="702"/>
        </w:trPr>
        <w:tc>
          <w:tcPr>
            <w:tcW w:w="2993" w:type="dxa"/>
            <w:vMerge/>
          </w:tcPr>
          <w:p w14:paraId="62D81CFF" w14:textId="77777777" w:rsidR="00EB2246" w:rsidRDefault="00EB2246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17DD4099" w14:textId="5C55BB45" w:rsidR="00EB2246" w:rsidRPr="00EB2246" w:rsidRDefault="00EB2246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Maksymalna i minimalna </w:t>
            </w:r>
            <w:r w:rsidR="00F02C75">
              <w:rPr>
                <w:rFonts w:ascii="Times New Roman" w:hAnsi="Times New Roman" w:cs="Times New Roman"/>
                <w:sz w:val="20"/>
                <w:szCs w:val="20"/>
              </w:rPr>
              <w:t xml:space="preserve">naziemna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intensywność zabudowy </w:t>
            </w:r>
          </w:p>
        </w:tc>
        <w:tc>
          <w:tcPr>
            <w:tcW w:w="3538" w:type="dxa"/>
            <w:vAlign w:val="center"/>
          </w:tcPr>
          <w:p w14:paraId="1E03FEE2" w14:textId="64305AF3" w:rsidR="00EB2246" w:rsidRPr="006D29D3" w:rsidRDefault="006D29D3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</w:p>
        </w:tc>
      </w:tr>
      <w:tr w:rsidR="00F02C75" w14:paraId="76FCEF74" w14:textId="77777777" w:rsidTr="00FE7480">
        <w:trPr>
          <w:trHeight w:val="1119"/>
        </w:trPr>
        <w:tc>
          <w:tcPr>
            <w:tcW w:w="2993" w:type="dxa"/>
            <w:vMerge/>
          </w:tcPr>
          <w:p w14:paraId="0F6554B4" w14:textId="77777777" w:rsidR="00F02C75" w:rsidRDefault="00F02C75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3D6F29D3" w14:textId="7AD9E505" w:rsidR="00F02C75" w:rsidRDefault="00F02C75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powierzchnia zabudowy</w:t>
            </w:r>
          </w:p>
        </w:tc>
        <w:tc>
          <w:tcPr>
            <w:tcW w:w="3538" w:type="dxa"/>
            <w:vAlign w:val="center"/>
          </w:tcPr>
          <w:p w14:paraId="67686478" w14:textId="0907420E" w:rsidR="00F02C75" w:rsidRPr="006D29D3" w:rsidRDefault="00F02C75" w:rsidP="00F0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14:paraId="2AE346BB" w14:textId="50B9052F" w:rsidR="00F02C75" w:rsidRPr="006D29D3" w:rsidRDefault="00F02C75" w:rsidP="00F0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14:paraId="6CA45279" w14:textId="6C1D466D" w:rsidR="00F02C75" w:rsidRPr="006D29D3" w:rsidRDefault="00F02C75" w:rsidP="00F02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B2246" w14:paraId="566858A7" w14:textId="77777777" w:rsidTr="00FE7480">
        <w:trPr>
          <w:trHeight w:val="1119"/>
        </w:trPr>
        <w:tc>
          <w:tcPr>
            <w:tcW w:w="2993" w:type="dxa"/>
            <w:vMerge/>
          </w:tcPr>
          <w:p w14:paraId="6AB1F522" w14:textId="77777777" w:rsidR="00EB2246" w:rsidRDefault="00EB2246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48160998" w14:textId="5FBE271A" w:rsidR="00EB2246" w:rsidRPr="00EB2246" w:rsidRDefault="00EB2246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wysokość zabudowy</w:t>
            </w:r>
          </w:p>
        </w:tc>
        <w:tc>
          <w:tcPr>
            <w:tcW w:w="3538" w:type="dxa"/>
            <w:vAlign w:val="center"/>
          </w:tcPr>
          <w:p w14:paraId="53ECCEEE" w14:textId="77777777" w:rsidR="00EB2246" w:rsidRPr="006D29D3" w:rsidRDefault="006D29D3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9m</w:t>
            </w:r>
          </w:p>
          <w:p w14:paraId="192792DD" w14:textId="77777777" w:rsidR="006D29D3" w:rsidRPr="006D29D3" w:rsidRDefault="006D29D3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12m</w:t>
            </w:r>
          </w:p>
          <w:p w14:paraId="107AE9CF" w14:textId="0144B92F" w:rsidR="006D29D3" w:rsidRPr="006D29D3" w:rsidRDefault="006D29D3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</w:p>
        </w:tc>
      </w:tr>
      <w:tr w:rsidR="00EB2246" w14:paraId="3146C5F5" w14:textId="77777777" w:rsidTr="00FE7480">
        <w:trPr>
          <w:trHeight w:val="1121"/>
        </w:trPr>
        <w:tc>
          <w:tcPr>
            <w:tcW w:w="2993" w:type="dxa"/>
            <w:vMerge/>
          </w:tcPr>
          <w:p w14:paraId="7C1DF02E" w14:textId="77777777" w:rsidR="00EB2246" w:rsidRDefault="00EB2246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23941C09" w14:textId="5F467076" w:rsidR="00EB2246" w:rsidRPr="00EB2246" w:rsidRDefault="00EB2246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Minimalny udział procentowy powierzchni biologicznie czynnej </w:t>
            </w:r>
          </w:p>
        </w:tc>
        <w:tc>
          <w:tcPr>
            <w:tcW w:w="3538" w:type="dxa"/>
            <w:vAlign w:val="center"/>
          </w:tcPr>
          <w:p w14:paraId="0B29CADA" w14:textId="09BA6ED3" w:rsidR="006D29D3" w:rsidRPr="006D29D3" w:rsidRDefault="006D29D3" w:rsidP="006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14:paraId="5D57CB3C" w14:textId="2A0CB9F2" w:rsidR="006D29D3" w:rsidRPr="006D29D3" w:rsidRDefault="006D29D3" w:rsidP="006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14:paraId="04043A8C" w14:textId="0C1CA5ED" w:rsidR="00EB2246" w:rsidRDefault="006D29D3" w:rsidP="006D29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B2246" w14:paraId="09591E97" w14:textId="77777777" w:rsidTr="00FE7480">
        <w:trPr>
          <w:trHeight w:val="701"/>
        </w:trPr>
        <w:tc>
          <w:tcPr>
            <w:tcW w:w="2993" w:type="dxa"/>
            <w:vMerge/>
          </w:tcPr>
          <w:p w14:paraId="03250B38" w14:textId="77777777" w:rsidR="00EB2246" w:rsidRDefault="00EB2246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3F2C1433" w14:textId="021D4C01" w:rsidR="00EB2246" w:rsidRPr="00EB2246" w:rsidRDefault="00EB2246" w:rsidP="00EB22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liczba miejsc do parkowania</w:t>
            </w:r>
          </w:p>
        </w:tc>
        <w:tc>
          <w:tcPr>
            <w:tcW w:w="3538" w:type="dxa"/>
          </w:tcPr>
          <w:p w14:paraId="2FAD0FD1" w14:textId="6CB34B85" w:rsidR="006D29D3" w:rsidRPr="006D29D3" w:rsidRDefault="006D29D3" w:rsidP="006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miejsca</w:t>
            </w:r>
          </w:p>
          <w:p w14:paraId="1D4480CC" w14:textId="400C2B33" w:rsidR="006D29D3" w:rsidRPr="006D29D3" w:rsidRDefault="006D29D3" w:rsidP="006D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miejsce na10m2 lub 20miejsc </w:t>
            </w:r>
            <w:r w:rsidR="00DC6B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100 osób zatrudniony</w:t>
            </w:r>
          </w:p>
          <w:p w14:paraId="190FAC7E" w14:textId="680DCA9A" w:rsidR="00EB2246" w:rsidRDefault="006D29D3" w:rsidP="006D29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 – </w:t>
            </w:r>
            <w:r w:rsidRPr="006D29D3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DC6B08" w14:paraId="7BD1E3A0" w14:textId="77777777" w:rsidTr="00CE61A2">
        <w:trPr>
          <w:trHeight w:val="992"/>
        </w:trPr>
        <w:tc>
          <w:tcPr>
            <w:tcW w:w="2993" w:type="dxa"/>
            <w:vAlign w:val="center"/>
          </w:tcPr>
          <w:p w14:paraId="3AF73EE7" w14:textId="57C4A8C8" w:rsidR="00DC6B08" w:rsidRPr="00CE61A2" w:rsidRDefault="00DC6B08" w:rsidP="009D59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1A2">
              <w:rPr>
                <w:rFonts w:ascii="Times New Roman" w:hAnsi="Times New Roman" w:cs="Times New Roman"/>
                <w:sz w:val="20"/>
                <w:szCs w:val="20"/>
              </w:rPr>
              <w:t>Ustalenia decyzji o warunkach zabudowy albo decyzji o ustaleniu inwestycji celu publicznego w przypadku braku MPZP</w:t>
            </w:r>
          </w:p>
        </w:tc>
        <w:tc>
          <w:tcPr>
            <w:tcW w:w="6069" w:type="dxa"/>
            <w:gridSpan w:val="2"/>
            <w:vAlign w:val="center"/>
          </w:tcPr>
          <w:p w14:paraId="1D3455F2" w14:textId="1FB2D45A" w:rsidR="00DC6B08" w:rsidRPr="00DC6B08" w:rsidRDefault="00DC6B08" w:rsidP="00CD06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dotyczy</w:t>
            </w:r>
          </w:p>
        </w:tc>
      </w:tr>
      <w:tr w:rsidR="00E173B8" w14:paraId="257465D7" w14:textId="77777777" w:rsidTr="00FE7480">
        <w:tc>
          <w:tcPr>
            <w:tcW w:w="2993" w:type="dxa"/>
            <w:vMerge w:val="restart"/>
            <w:vAlign w:val="center"/>
          </w:tcPr>
          <w:p w14:paraId="3E16729A" w14:textId="07269BAE" w:rsidR="00E173B8" w:rsidRDefault="00E173B8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B08">
              <w:rPr>
                <w:rFonts w:ascii="Times New Roman" w:hAnsi="Times New Roman" w:cs="Times New Roman"/>
                <w:sz w:val="24"/>
                <w:szCs w:val="24"/>
              </w:rPr>
              <w:t>Informacje dotyczące przewidzianych inwestycji w promieniu 1 km od terenu objętego przedsięwzięciem deweloperskim lub zadaniem inwestycyjnym, zawarte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31" w:type="dxa"/>
            <w:vAlign w:val="center"/>
          </w:tcPr>
          <w:p w14:paraId="7E3752FC" w14:textId="0A054635" w:rsidR="00E173B8" w:rsidRDefault="00E173B8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513">
              <w:rPr>
                <w:rFonts w:ascii="Times New Roman" w:hAnsi="Times New Roman" w:cs="Times New Roman"/>
                <w:sz w:val="20"/>
                <w:szCs w:val="20"/>
              </w:rPr>
              <w:t>Miejscowy plan zagospodarowania przestrzennego</w:t>
            </w:r>
          </w:p>
        </w:tc>
        <w:tc>
          <w:tcPr>
            <w:tcW w:w="3538" w:type="dxa"/>
            <w:vAlign w:val="center"/>
          </w:tcPr>
          <w:p w14:paraId="2B7793F8" w14:textId="47FCD0FB" w:rsidR="00E173B8" w:rsidRPr="003E2513" w:rsidRDefault="00E173B8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takich inwestycji</w:t>
            </w:r>
          </w:p>
        </w:tc>
      </w:tr>
      <w:tr w:rsidR="00E173B8" w14:paraId="483F611E" w14:textId="77777777" w:rsidTr="009D59A9">
        <w:trPr>
          <w:trHeight w:val="839"/>
        </w:trPr>
        <w:tc>
          <w:tcPr>
            <w:tcW w:w="2993" w:type="dxa"/>
            <w:vMerge/>
          </w:tcPr>
          <w:p w14:paraId="244BE564" w14:textId="77777777" w:rsidR="00E173B8" w:rsidRDefault="00E173B8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0EABE334" w14:textId="3FC5973E" w:rsidR="00E173B8" w:rsidRDefault="00E173B8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DFC">
              <w:rPr>
                <w:rFonts w:ascii="Times New Roman" w:hAnsi="Times New Roman" w:cs="Times New Roman"/>
                <w:sz w:val="20"/>
                <w:szCs w:val="20"/>
              </w:rPr>
              <w:t>Decyzja o warunkach zabudowy i zagospodarowania terenu</w:t>
            </w:r>
          </w:p>
        </w:tc>
        <w:tc>
          <w:tcPr>
            <w:tcW w:w="3538" w:type="dxa"/>
            <w:vAlign w:val="center"/>
          </w:tcPr>
          <w:p w14:paraId="73380C5E" w14:textId="569FCCD8" w:rsidR="00E173B8" w:rsidRDefault="003D0BB7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takich inwestycji</w:t>
            </w:r>
          </w:p>
        </w:tc>
      </w:tr>
      <w:tr w:rsidR="00E173B8" w14:paraId="1A2DB183" w14:textId="77777777" w:rsidTr="009D59A9">
        <w:trPr>
          <w:trHeight w:val="621"/>
        </w:trPr>
        <w:tc>
          <w:tcPr>
            <w:tcW w:w="2993" w:type="dxa"/>
            <w:vMerge/>
          </w:tcPr>
          <w:p w14:paraId="427D9630" w14:textId="77777777" w:rsidR="00E173B8" w:rsidRDefault="00E173B8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66F7848E" w14:textId="4B45C263" w:rsidR="00E173B8" w:rsidRDefault="00E173B8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DFC">
              <w:rPr>
                <w:rFonts w:ascii="Times New Roman" w:hAnsi="Times New Roman" w:cs="Times New Roman"/>
                <w:sz w:val="20"/>
                <w:szCs w:val="20"/>
              </w:rPr>
              <w:t>Decyzja o środowiskowych uwarunkowaniach</w:t>
            </w:r>
          </w:p>
        </w:tc>
        <w:tc>
          <w:tcPr>
            <w:tcW w:w="3538" w:type="dxa"/>
            <w:vAlign w:val="center"/>
          </w:tcPr>
          <w:p w14:paraId="40A5229D" w14:textId="4E3F3139" w:rsidR="00E173B8" w:rsidRDefault="00E173B8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takich inwestycji</w:t>
            </w:r>
          </w:p>
        </w:tc>
      </w:tr>
      <w:tr w:rsidR="00E173B8" w14:paraId="7550D672" w14:textId="77777777" w:rsidTr="009D59A9">
        <w:trPr>
          <w:trHeight w:val="417"/>
        </w:trPr>
        <w:tc>
          <w:tcPr>
            <w:tcW w:w="2993" w:type="dxa"/>
            <w:vMerge/>
          </w:tcPr>
          <w:p w14:paraId="65FFA536" w14:textId="77777777" w:rsidR="00E173B8" w:rsidRDefault="00E173B8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1B71F26B" w14:textId="40A84280" w:rsidR="00E173B8" w:rsidRDefault="00E173B8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DFC">
              <w:rPr>
                <w:rFonts w:ascii="Times New Roman" w:hAnsi="Times New Roman" w:cs="Times New Roman"/>
                <w:sz w:val="20"/>
                <w:szCs w:val="20"/>
              </w:rPr>
              <w:t>Uchwała o obszarach ograniczonego użytkowania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7D6DB8A0" w14:textId="344038D0" w:rsidR="00E173B8" w:rsidRPr="00644DFC" w:rsidRDefault="00E173B8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F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173B8" w14:paraId="21DD20DE" w14:textId="77777777" w:rsidTr="00FE7480">
        <w:trPr>
          <w:trHeight w:val="531"/>
        </w:trPr>
        <w:tc>
          <w:tcPr>
            <w:tcW w:w="2993" w:type="dxa"/>
            <w:vMerge/>
          </w:tcPr>
          <w:p w14:paraId="393FCB3A" w14:textId="77777777" w:rsidR="00E173B8" w:rsidRDefault="00E173B8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5F6434A1" w14:textId="4516CB5E" w:rsidR="00E173B8" w:rsidRPr="00644DFC" w:rsidRDefault="00E173B8" w:rsidP="00CD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DFC">
              <w:rPr>
                <w:rFonts w:ascii="Times New Roman" w:hAnsi="Times New Roman" w:cs="Times New Roman"/>
                <w:sz w:val="20"/>
                <w:szCs w:val="20"/>
              </w:rPr>
              <w:t>Miejscowych planach odbudowy</w:t>
            </w:r>
          </w:p>
        </w:tc>
        <w:tc>
          <w:tcPr>
            <w:tcW w:w="3538" w:type="dxa"/>
            <w:vAlign w:val="center"/>
          </w:tcPr>
          <w:p w14:paraId="2243E60C" w14:textId="7996B4C2" w:rsidR="00E173B8" w:rsidRPr="00644DFC" w:rsidRDefault="00E173B8" w:rsidP="00CD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F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173B8" w14:paraId="7FB36421" w14:textId="77777777" w:rsidTr="00FE7480">
        <w:tc>
          <w:tcPr>
            <w:tcW w:w="2993" w:type="dxa"/>
            <w:vMerge/>
          </w:tcPr>
          <w:p w14:paraId="3B42BB91" w14:textId="77777777" w:rsidR="00E173B8" w:rsidRDefault="00E173B8" w:rsidP="009D5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14:paraId="0A227821" w14:textId="44A2EF0A" w:rsidR="00E173B8" w:rsidRPr="00E173B8" w:rsidRDefault="00E173B8" w:rsidP="00CD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B8">
              <w:rPr>
                <w:rFonts w:ascii="Times New Roman" w:hAnsi="Times New Roman" w:cs="Times New Roman"/>
                <w:sz w:val="20"/>
                <w:szCs w:val="20"/>
              </w:rPr>
              <w:t>Mapach zagrożenia powodziowego i mapa ryzyka powodziowego</w:t>
            </w:r>
          </w:p>
        </w:tc>
        <w:tc>
          <w:tcPr>
            <w:tcW w:w="3538" w:type="dxa"/>
            <w:vAlign w:val="center"/>
          </w:tcPr>
          <w:p w14:paraId="67674448" w14:textId="1E0C7A81" w:rsidR="00E173B8" w:rsidRDefault="00E173B8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DF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14:paraId="658E3402" w14:textId="77777777" w:rsidR="00FE7480" w:rsidRDefault="00FE7480" w:rsidP="00CD06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92"/>
        <w:gridCol w:w="47"/>
        <w:gridCol w:w="2974"/>
      </w:tblGrid>
      <w:tr w:rsidR="002B0CC5" w14:paraId="0781A5D6" w14:textId="77777777" w:rsidTr="00143221">
        <w:trPr>
          <w:trHeight w:val="1467"/>
          <w:jc w:val="center"/>
        </w:trPr>
        <w:tc>
          <w:tcPr>
            <w:tcW w:w="3114" w:type="dxa"/>
            <w:vMerge w:val="restart"/>
          </w:tcPr>
          <w:p w14:paraId="26ED9BB7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  <w:gridSpan w:val="4"/>
            <w:vAlign w:val="center"/>
          </w:tcPr>
          <w:p w14:paraId="0E9BBBD5" w14:textId="79BE248E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3B8">
              <w:rPr>
                <w:rFonts w:ascii="Times New Roman" w:hAnsi="Times New Roman" w:cs="Times New Roman"/>
                <w:sz w:val="24"/>
                <w:szCs w:val="24"/>
              </w:rPr>
              <w:t>Ustalenia decyzji w zakresie rozmieszczenia inwestycji celu publicznego, mogące mieć znaczenie dla terenu objętego przedsięwzięciem deweloperskim lub zadaniem inwestycyjnym</w:t>
            </w:r>
          </w:p>
        </w:tc>
      </w:tr>
      <w:tr w:rsidR="002B0CC5" w14:paraId="5B197191" w14:textId="77777777" w:rsidTr="00143221">
        <w:trPr>
          <w:trHeight w:val="1132"/>
          <w:jc w:val="center"/>
        </w:trPr>
        <w:tc>
          <w:tcPr>
            <w:tcW w:w="3114" w:type="dxa"/>
            <w:vMerge/>
          </w:tcPr>
          <w:p w14:paraId="13C3B2D9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5B0F9D6" w14:textId="3AD4A094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3B8">
              <w:rPr>
                <w:rFonts w:ascii="Times New Roman" w:hAnsi="Times New Roman" w:cs="Times New Roman"/>
                <w:sz w:val="24"/>
                <w:szCs w:val="24"/>
              </w:rPr>
              <w:t>Decyzja o zezwolenie na realizację inwestycji drogowej</w:t>
            </w:r>
          </w:p>
        </w:tc>
        <w:tc>
          <w:tcPr>
            <w:tcW w:w="3113" w:type="dxa"/>
            <w:gridSpan w:val="3"/>
            <w:vAlign w:val="center"/>
          </w:tcPr>
          <w:p w14:paraId="016D59C4" w14:textId="5D251E1D" w:rsidR="002B0CC5" w:rsidRPr="00FE7480" w:rsidRDefault="003D0BB7" w:rsidP="00FE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północnej obwodnicy miasta Krakowa</w:t>
            </w:r>
          </w:p>
        </w:tc>
      </w:tr>
      <w:tr w:rsidR="002B0CC5" w14:paraId="28930B79" w14:textId="77777777" w:rsidTr="00143221">
        <w:trPr>
          <w:trHeight w:val="979"/>
          <w:jc w:val="center"/>
        </w:trPr>
        <w:tc>
          <w:tcPr>
            <w:tcW w:w="3114" w:type="dxa"/>
            <w:vMerge/>
          </w:tcPr>
          <w:p w14:paraId="7A26BECF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B730F86" w14:textId="0A21194C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3B8">
              <w:rPr>
                <w:rFonts w:ascii="Times New Roman" w:hAnsi="Times New Roman" w:cs="Times New Roman"/>
                <w:sz w:val="24"/>
                <w:szCs w:val="24"/>
              </w:rPr>
              <w:t>Decyzja o zezwolenie na realizację inwestycji kolejowej</w:t>
            </w:r>
          </w:p>
        </w:tc>
        <w:tc>
          <w:tcPr>
            <w:tcW w:w="3113" w:type="dxa"/>
            <w:gridSpan w:val="3"/>
            <w:vAlign w:val="center"/>
          </w:tcPr>
          <w:p w14:paraId="48275920" w14:textId="42DDD5E6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7617A39C" w14:textId="77777777" w:rsidTr="00143221">
        <w:trPr>
          <w:trHeight w:val="1262"/>
          <w:jc w:val="center"/>
        </w:trPr>
        <w:tc>
          <w:tcPr>
            <w:tcW w:w="3114" w:type="dxa"/>
            <w:vMerge/>
          </w:tcPr>
          <w:p w14:paraId="2C2BFB8C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5DF47D" w14:textId="32D42FAF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zezwoleniu na realizację inwestycji w zakresie lotniska, użytku publicznego</w:t>
            </w:r>
          </w:p>
        </w:tc>
        <w:tc>
          <w:tcPr>
            <w:tcW w:w="3113" w:type="dxa"/>
            <w:gridSpan w:val="3"/>
            <w:vAlign w:val="center"/>
          </w:tcPr>
          <w:p w14:paraId="657935F3" w14:textId="7E87E7E8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7AD3DF42" w14:textId="77777777" w:rsidTr="00143221">
        <w:trPr>
          <w:jc w:val="center"/>
        </w:trPr>
        <w:tc>
          <w:tcPr>
            <w:tcW w:w="3114" w:type="dxa"/>
            <w:vMerge/>
          </w:tcPr>
          <w:p w14:paraId="03EC8CF0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E79101" w14:textId="11361376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pozwoleniu na realizację inwestycji w zakresie budowli przeciwpowodziowych</w:t>
            </w:r>
          </w:p>
        </w:tc>
        <w:tc>
          <w:tcPr>
            <w:tcW w:w="3113" w:type="dxa"/>
            <w:gridSpan w:val="3"/>
            <w:vAlign w:val="center"/>
          </w:tcPr>
          <w:p w14:paraId="62B2A795" w14:textId="6FDF1359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07E7B7F3" w14:textId="77777777" w:rsidTr="00143221">
        <w:trPr>
          <w:trHeight w:val="1308"/>
          <w:jc w:val="center"/>
        </w:trPr>
        <w:tc>
          <w:tcPr>
            <w:tcW w:w="3114" w:type="dxa"/>
            <w:vMerge/>
          </w:tcPr>
          <w:p w14:paraId="2D28E8E7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7BBE90" w14:textId="629542E6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ustaleniu lokalizacji inwestycji w zakresie budowy obiektu energetyki jądrowej</w:t>
            </w:r>
          </w:p>
        </w:tc>
        <w:tc>
          <w:tcPr>
            <w:tcW w:w="3113" w:type="dxa"/>
            <w:gridSpan w:val="3"/>
            <w:vAlign w:val="center"/>
          </w:tcPr>
          <w:p w14:paraId="474A4938" w14:textId="26C7ED0F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57345FB8" w14:textId="77777777" w:rsidTr="00143221">
        <w:trPr>
          <w:trHeight w:val="1182"/>
          <w:jc w:val="center"/>
        </w:trPr>
        <w:tc>
          <w:tcPr>
            <w:tcW w:w="3114" w:type="dxa"/>
            <w:vMerge/>
          </w:tcPr>
          <w:p w14:paraId="5F888725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3B5742E" w14:textId="133451C4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ustaleniu lokalizacji strategicznej inwestycji w zakresie sieci przesyłowej</w:t>
            </w:r>
          </w:p>
        </w:tc>
        <w:tc>
          <w:tcPr>
            <w:tcW w:w="3113" w:type="dxa"/>
            <w:gridSpan w:val="3"/>
            <w:vAlign w:val="center"/>
          </w:tcPr>
          <w:p w14:paraId="3336C51B" w14:textId="58132E1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5FC68142" w14:textId="77777777" w:rsidTr="00143221">
        <w:trPr>
          <w:trHeight w:val="1056"/>
          <w:jc w:val="center"/>
        </w:trPr>
        <w:tc>
          <w:tcPr>
            <w:tcW w:w="3114" w:type="dxa"/>
            <w:vMerge/>
          </w:tcPr>
          <w:p w14:paraId="7D135E69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19E2A5" w14:textId="51EB55FF" w:rsidR="002B0CC5" w:rsidRDefault="002B0CC5" w:rsidP="00FE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ustaleniu lokalizacji regionalnej sieci szerokopasmowej</w:t>
            </w:r>
          </w:p>
        </w:tc>
        <w:tc>
          <w:tcPr>
            <w:tcW w:w="3113" w:type="dxa"/>
            <w:gridSpan w:val="3"/>
            <w:vAlign w:val="center"/>
          </w:tcPr>
          <w:p w14:paraId="5B18C18F" w14:textId="00D90F6A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68D98DD4" w14:textId="77777777" w:rsidTr="00143221">
        <w:trPr>
          <w:trHeight w:val="1310"/>
          <w:jc w:val="center"/>
        </w:trPr>
        <w:tc>
          <w:tcPr>
            <w:tcW w:w="3114" w:type="dxa"/>
            <w:vMerge/>
          </w:tcPr>
          <w:p w14:paraId="5D59B9E9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3DFFED" w14:textId="0C0E20B8" w:rsidR="002B0CC5" w:rsidRDefault="002B0CC5" w:rsidP="00FE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ustaleniu lokalizacji inwestycji w zakresie Centralnego Portu Komunikacyjnego</w:t>
            </w:r>
          </w:p>
        </w:tc>
        <w:tc>
          <w:tcPr>
            <w:tcW w:w="3113" w:type="dxa"/>
            <w:gridSpan w:val="3"/>
            <w:vAlign w:val="center"/>
          </w:tcPr>
          <w:p w14:paraId="23901099" w14:textId="39324ED3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38FC9282" w14:textId="77777777" w:rsidTr="00143221">
        <w:trPr>
          <w:trHeight w:val="1105"/>
          <w:jc w:val="center"/>
        </w:trPr>
        <w:tc>
          <w:tcPr>
            <w:tcW w:w="3114" w:type="dxa"/>
            <w:vMerge/>
          </w:tcPr>
          <w:p w14:paraId="7D22EC75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D63AAB" w14:textId="4E8F05F8" w:rsidR="002B0CC5" w:rsidRDefault="002B0CC5" w:rsidP="00FE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o zezwoleniu na realizację w zakresie infrastruktury dostępowej</w:t>
            </w:r>
          </w:p>
        </w:tc>
        <w:tc>
          <w:tcPr>
            <w:tcW w:w="3113" w:type="dxa"/>
            <w:gridSpan w:val="3"/>
            <w:vAlign w:val="center"/>
          </w:tcPr>
          <w:p w14:paraId="189576D5" w14:textId="101F57C2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39648776" w14:textId="77777777" w:rsidTr="00143221">
        <w:trPr>
          <w:trHeight w:val="1343"/>
          <w:jc w:val="center"/>
        </w:trPr>
        <w:tc>
          <w:tcPr>
            <w:tcW w:w="3114" w:type="dxa"/>
            <w:vMerge/>
          </w:tcPr>
          <w:p w14:paraId="0F48F78E" w14:textId="77777777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4DB0AA" w14:textId="1D7BE976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Decyzja o ustaleniu lokalizacji strategicznej inwestycji w sektorze naftowym</w:t>
            </w:r>
          </w:p>
        </w:tc>
        <w:tc>
          <w:tcPr>
            <w:tcW w:w="3113" w:type="dxa"/>
            <w:gridSpan w:val="3"/>
            <w:vAlign w:val="center"/>
          </w:tcPr>
          <w:p w14:paraId="287F5ECC" w14:textId="4CEE0C15" w:rsidR="002B0CC5" w:rsidRDefault="002B0CC5" w:rsidP="00FE7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480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B0CC5" w14:paraId="397446B5" w14:textId="77777777" w:rsidTr="00143221">
        <w:trPr>
          <w:trHeight w:val="699"/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0AFF5C4" w14:textId="157DFDBA" w:rsidR="002B0CC5" w:rsidRPr="002B0CC5" w:rsidRDefault="002B0CC5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INORMACJE DOTYCZĄCE BUDYNKU</w:t>
            </w:r>
          </w:p>
        </w:tc>
      </w:tr>
      <w:tr w:rsidR="002B0CC5" w14:paraId="7AA04C09" w14:textId="77777777" w:rsidTr="00143221">
        <w:trPr>
          <w:trHeight w:val="846"/>
          <w:jc w:val="center"/>
        </w:trPr>
        <w:tc>
          <w:tcPr>
            <w:tcW w:w="3114" w:type="dxa"/>
            <w:vAlign w:val="center"/>
          </w:tcPr>
          <w:p w14:paraId="3CC953D0" w14:textId="332AB581" w:rsidR="002B0CC5" w:rsidRDefault="002B0CC5" w:rsidP="00CD0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CC5">
              <w:rPr>
                <w:rFonts w:ascii="Times New Roman" w:hAnsi="Times New Roman" w:cs="Times New Roman"/>
                <w:sz w:val="24"/>
                <w:szCs w:val="24"/>
              </w:rPr>
              <w:t>Czy jest pozwolenie na budowę</w:t>
            </w:r>
          </w:p>
        </w:tc>
        <w:tc>
          <w:tcPr>
            <w:tcW w:w="2927" w:type="dxa"/>
            <w:gridSpan w:val="2"/>
            <w:vAlign w:val="center"/>
          </w:tcPr>
          <w:p w14:paraId="12A12609" w14:textId="2E9E9546" w:rsidR="002B0CC5" w:rsidRPr="00C44FB5" w:rsidRDefault="00462292" w:rsidP="00462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Tak*</w:t>
            </w:r>
          </w:p>
        </w:tc>
        <w:tc>
          <w:tcPr>
            <w:tcW w:w="3021" w:type="dxa"/>
            <w:gridSpan w:val="2"/>
            <w:vAlign w:val="center"/>
          </w:tcPr>
          <w:p w14:paraId="4B3CE815" w14:textId="7D7D8217" w:rsidR="002B0CC5" w:rsidRPr="00C44FB5" w:rsidRDefault="00462292" w:rsidP="00462292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C44FB5">
              <w:rPr>
                <w:rFonts w:ascii="Times New Roman" w:hAnsi="Times New Roman" w:cs="Times New Roman"/>
                <w:strike/>
                <w:sz w:val="24"/>
                <w:szCs w:val="24"/>
              </w:rPr>
              <w:t>Nie*</w:t>
            </w:r>
          </w:p>
        </w:tc>
      </w:tr>
      <w:tr w:rsidR="00462292" w14:paraId="278C8AF0" w14:textId="77777777" w:rsidTr="00143221">
        <w:trPr>
          <w:trHeight w:val="843"/>
          <w:jc w:val="center"/>
        </w:trPr>
        <w:tc>
          <w:tcPr>
            <w:tcW w:w="3114" w:type="dxa"/>
            <w:vAlign w:val="center"/>
          </w:tcPr>
          <w:p w14:paraId="7291F060" w14:textId="676C52F8" w:rsidR="00462292" w:rsidRDefault="00462292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292">
              <w:rPr>
                <w:rFonts w:ascii="Times New Roman" w:hAnsi="Times New Roman" w:cs="Times New Roman"/>
                <w:sz w:val="24"/>
                <w:szCs w:val="24"/>
              </w:rPr>
              <w:t>Czy pozwolenie na budowę jest ostateczne</w:t>
            </w:r>
          </w:p>
        </w:tc>
        <w:tc>
          <w:tcPr>
            <w:tcW w:w="2927" w:type="dxa"/>
            <w:gridSpan w:val="2"/>
            <w:vAlign w:val="center"/>
          </w:tcPr>
          <w:p w14:paraId="63BF7D7F" w14:textId="51D6DA11" w:rsidR="00462292" w:rsidRPr="003D0BB7" w:rsidRDefault="001C3C28" w:rsidP="00462292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C44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Tak*</w:t>
            </w:r>
          </w:p>
        </w:tc>
        <w:tc>
          <w:tcPr>
            <w:tcW w:w="3021" w:type="dxa"/>
            <w:gridSpan w:val="2"/>
            <w:vAlign w:val="center"/>
          </w:tcPr>
          <w:p w14:paraId="443E5D42" w14:textId="7D2A8105" w:rsidR="00462292" w:rsidRPr="003D0BB7" w:rsidRDefault="001C3C28" w:rsidP="00462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FB5">
              <w:rPr>
                <w:rFonts w:ascii="Times New Roman" w:hAnsi="Times New Roman" w:cs="Times New Roman"/>
                <w:strike/>
                <w:sz w:val="24"/>
                <w:szCs w:val="24"/>
              </w:rPr>
              <w:t>Nie*</w:t>
            </w:r>
          </w:p>
        </w:tc>
      </w:tr>
      <w:tr w:rsidR="00462292" w14:paraId="3B7ABBB2" w14:textId="77777777" w:rsidTr="00143221">
        <w:trPr>
          <w:trHeight w:val="841"/>
          <w:jc w:val="center"/>
        </w:trPr>
        <w:tc>
          <w:tcPr>
            <w:tcW w:w="3114" w:type="dxa"/>
            <w:vAlign w:val="center"/>
          </w:tcPr>
          <w:p w14:paraId="55BAEA7C" w14:textId="4FDEC2D4" w:rsidR="00462292" w:rsidRDefault="00462292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292">
              <w:rPr>
                <w:rFonts w:ascii="Times New Roman" w:hAnsi="Times New Roman" w:cs="Times New Roman"/>
                <w:sz w:val="24"/>
                <w:szCs w:val="24"/>
              </w:rPr>
              <w:t xml:space="preserve">Czy pozwolenie na budowę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zaskarżone</w:t>
            </w:r>
          </w:p>
        </w:tc>
        <w:tc>
          <w:tcPr>
            <w:tcW w:w="2927" w:type="dxa"/>
            <w:gridSpan w:val="2"/>
            <w:vAlign w:val="center"/>
          </w:tcPr>
          <w:p w14:paraId="7EC273F4" w14:textId="2901D127" w:rsidR="00462292" w:rsidRPr="00C44FB5" w:rsidRDefault="00462292" w:rsidP="00462292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C44FB5">
              <w:rPr>
                <w:rFonts w:ascii="Times New Roman" w:hAnsi="Times New Roman" w:cs="Times New Roman"/>
                <w:strike/>
                <w:sz w:val="24"/>
                <w:szCs w:val="24"/>
              </w:rPr>
              <w:t>Tak*</w:t>
            </w:r>
          </w:p>
        </w:tc>
        <w:tc>
          <w:tcPr>
            <w:tcW w:w="3021" w:type="dxa"/>
            <w:gridSpan w:val="2"/>
            <w:vAlign w:val="center"/>
          </w:tcPr>
          <w:p w14:paraId="04E760D7" w14:textId="45C18D06" w:rsidR="00462292" w:rsidRPr="00C44FB5" w:rsidRDefault="00462292" w:rsidP="004622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Nie*</w:t>
            </w:r>
          </w:p>
        </w:tc>
      </w:tr>
      <w:tr w:rsidR="00462292" w14:paraId="4F6DFBFC" w14:textId="77777777" w:rsidTr="009D59A9">
        <w:trPr>
          <w:trHeight w:val="2257"/>
          <w:jc w:val="center"/>
        </w:trPr>
        <w:tc>
          <w:tcPr>
            <w:tcW w:w="3114" w:type="dxa"/>
            <w:vAlign w:val="center"/>
          </w:tcPr>
          <w:p w14:paraId="6E7F8037" w14:textId="28AE4604" w:rsidR="00462292" w:rsidRDefault="00462292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292">
              <w:rPr>
                <w:rFonts w:ascii="Times New Roman" w:hAnsi="Times New Roman" w:cs="Times New Roman"/>
                <w:sz w:val="24"/>
                <w:szCs w:val="24"/>
              </w:rPr>
              <w:t>Numer pozwolenia na budowę oraz nazwa organu, który je wydał</w:t>
            </w:r>
          </w:p>
        </w:tc>
        <w:tc>
          <w:tcPr>
            <w:tcW w:w="5948" w:type="dxa"/>
            <w:gridSpan w:val="4"/>
            <w:vAlign w:val="center"/>
          </w:tcPr>
          <w:p w14:paraId="70D07FBE" w14:textId="77777777" w:rsidR="00CD57F2" w:rsidRDefault="00C44FB5" w:rsidP="003D0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 nr AB.III-W.1.</w:t>
            </w:r>
            <w:r w:rsidR="00CD5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  <w:r w:rsidRPr="0085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3D0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5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dnia </w:t>
            </w:r>
            <w:r w:rsidR="00CD5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3D0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-10-2024</w:t>
            </w:r>
            <w:r w:rsidR="00CD5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wydana przez Starosta Krakowski.</w:t>
            </w:r>
          </w:p>
          <w:p w14:paraId="3E8ACB42" w14:textId="39BEA2D9" w:rsidR="00C44FB5" w:rsidRPr="00854EEE" w:rsidRDefault="00CD57F2" w:rsidP="003D0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 przenosząca na rzecz Spółki INWESTYCJE KONIK AB.III-W.2.81.2025 z dnia 16-06-2025</w:t>
            </w:r>
            <w:r w:rsidR="00C44FB5" w:rsidRPr="0085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C3298" w14:textId="779482A6" w:rsidR="00C44FB5" w:rsidRPr="009D59A9" w:rsidRDefault="00C44FB5" w:rsidP="00462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292" w14:paraId="5F4F7AE6" w14:textId="77777777" w:rsidTr="00143221">
        <w:trPr>
          <w:trHeight w:val="971"/>
          <w:jc w:val="center"/>
        </w:trPr>
        <w:tc>
          <w:tcPr>
            <w:tcW w:w="3114" w:type="dxa"/>
            <w:vAlign w:val="center"/>
          </w:tcPr>
          <w:p w14:paraId="4968DBAC" w14:textId="3551C796" w:rsidR="00462292" w:rsidRDefault="00462292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uprawomocnienia się decyzji o pozwoleniu na użytkowanie budynku</w:t>
            </w:r>
          </w:p>
        </w:tc>
        <w:tc>
          <w:tcPr>
            <w:tcW w:w="5948" w:type="dxa"/>
            <w:gridSpan w:val="4"/>
            <w:vAlign w:val="center"/>
          </w:tcPr>
          <w:p w14:paraId="24FB7F4D" w14:textId="468411D6" w:rsidR="00462292" w:rsidRDefault="006B3E9F" w:rsidP="006B3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E9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3E9F" w14:paraId="13994AD8" w14:textId="77777777" w:rsidTr="00143221">
        <w:trPr>
          <w:jc w:val="center"/>
        </w:trPr>
        <w:tc>
          <w:tcPr>
            <w:tcW w:w="3114" w:type="dxa"/>
          </w:tcPr>
          <w:p w14:paraId="072A9FCD" w14:textId="70D5F841" w:rsidR="006B3E9F" w:rsidRPr="006B3E9F" w:rsidRDefault="006B3E9F" w:rsidP="00462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E9F">
              <w:rPr>
                <w:rFonts w:ascii="Times New Roman" w:hAnsi="Times New Roman" w:cs="Times New Roman"/>
                <w:sz w:val="20"/>
                <w:szCs w:val="20"/>
              </w:rPr>
              <w:t>Numer zgłoszenia budowy, o której mowa w art. 29ust.1 pkt 1 ustawy z dnia 7 lipca 1994 r. – Prawo budowlane (Dz. U. z 2020r . poz. 1333,2127 i 2320 oraz 2021 r. poz. 11,234,282 i 784), oraz oznaczenie organu, do którego dokonano zgłoszenia wraz z informacją o braku wniesienia sprzeciwu przez ten organ</w:t>
            </w:r>
          </w:p>
        </w:tc>
        <w:tc>
          <w:tcPr>
            <w:tcW w:w="5948" w:type="dxa"/>
            <w:gridSpan w:val="4"/>
            <w:vAlign w:val="center"/>
          </w:tcPr>
          <w:p w14:paraId="25178D6D" w14:textId="403D8C31" w:rsidR="006B3E9F" w:rsidRPr="006B3E9F" w:rsidRDefault="006B3E9F" w:rsidP="006B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9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3E9F" w14:paraId="65711332" w14:textId="77777777" w:rsidTr="0018525A">
        <w:trPr>
          <w:trHeight w:val="663"/>
          <w:jc w:val="center"/>
        </w:trPr>
        <w:tc>
          <w:tcPr>
            <w:tcW w:w="3114" w:type="dxa"/>
            <w:vAlign w:val="center"/>
          </w:tcPr>
          <w:p w14:paraId="7AD8F571" w14:textId="39DD5FF8" w:rsidR="006B3E9F" w:rsidRDefault="006B3E9F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E9F">
              <w:rPr>
                <w:rFonts w:ascii="Times New Roman" w:hAnsi="Times New Roman" w:cs="Times New Roman"/>
                <w:sz w:val="24"/>
                <w:szCs w:val="24"/>
              </w:rPr>
              <w:t>Data zakończenia budowy domu jednorodzinnego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48" w:type="dxa"/>
            <w:gridSpan w:val="4"/>
            <w:vAlign w:val="center"/>
          </w:tcPr>
          <w:p w14:paraId="4F5405D8" w14:textId="49D4E27B" w:rsidR="006B3E9F" w:rsidRDefault="006B3E9F" w:rsidP="006B3E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E9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C44FB5" w14:paraId="10AABDE8" w14:textId="77777777" w:rsidTr="00EA4C28">
        <w:trPr>
          <w:trHeight w:val="889"/>
          <w:jc w:val="center"/>
        </w:trPr>
        <w:tc>
          <w:tcPr>
            <w:tcW w:w="3114" w:type="dxa"/>
            <w:vAlign w:val="center"/>
          </w:tcPr>
          <w:p w14:paraId="3DFA5C4D" w14:textId="1E5CAF1D" w:rsidR="00C44FB5" w:rsidRDefault="00C44FB5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FB5">
              <w:rPr>
                <w:rFonts w:ascii="Times New Roman" w:hAnsi="Times New Roman" w:cs="Times New Roman"/>
                <w:sz w:val="24"/>
                <w:szCs w:val="24"/>
              </w:rPr>
              <w:t>Planowany termin rozpoczęcia i zakończenia robót budowlanych</w:t>
            </w:r>
          </w:p>
        </w:tc>
        <w:tc>
          <w:tcPr>
            <w:tcW w:w="5948" w:type="dxa"/>
            <w:gridSpan w:val="4"/>
            <w:vAlign w:val="center"/>
          </w:tcPr>
          <w:p w14:paraId="341E7CE9" w14:textId="792940E5" w:rsidR="00C44FB5" w:rsidRPr="00854EEE" w:rsidRDefault="008044F8" w:rsidP="00C44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Październik</w:t>
            </w:r>
            <w:r w:rsidR="003D0BB7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4FB5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D57F2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44FB5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Rozpoczęcie</w:t>
            </w:r>
            <w:r w:rsidR="00C44FB5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D0BB7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Grudzień </w:t>
            </w:r>
            <w:r w:rsidR="00C44FB5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D0BB7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44FB5" w:rsidRPr="00804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Zakończenie</w:t>
            </w:r>
          </w:p>
        </w:tc>
      </w:tr>
      <w:tr w:rsidR="00143221" w14:paraId="7759CFEB" w14:textId="77777777" w:rsidTr="00143221">
        <w:trPr>
          <w:trHeight w:val="564"/>
          <w:jc w:val="center"/>
        </w:trPr>
        <w:tc>
          <w:tcPr>
            <w:tcW w:w="3114" w:type="dxa"/>
            <w:vMerge w:val="restart"/>
            <w:vAlign w:val="center"/>
          </w:tcPr>
          <w:p w14:paraId="014416CC" w14:textId="06CA4FA2" w:rsidR="00143221" w:rsidRPr="00143221" w:rsidRDefault="00143221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21">
              <w:rPr>
                <w:rFonts w:ascii="Times New Roman" w:hAnsi="Times New Roman" w:cs="Times New Roman"/>
                <w:sz w:val="24"/>
                <w:szCs w:val="24"/>
              </w:rPr>
              <w:t xml:space="preserve">Opis przedsięwzięcia deweloperskiego </w:t>
            </w:r>
            <w:r w:rsidR="009D59A9">
              <w:rPr>
                <w:rFonts w:ascii="Times New Roman" w:hAnsi="Times New Roman" w:cs="Times New Roman"/>
                <w:sz w:val="24"/>
                <w:szCs w:val="24"/>
              </w:rPr>
              <w:t>lub zadania inwestycyjnego</w:t>
            </w:r>
          </w:p>
        </w:tc>
        <w:tc>
          <w:tcPr>
            <w:tcW w:w="2927" w:type="dxa"/>
            <w:gridSpan w:val="2"/>
            <w:vAlign w:val="center"/>
          </w:tcPr>
          <w:p w14:paraId="2C2B355A" w14:textId="1B7FE8AF" w:rsidR="00143221" w:rsidRPr="00143221" w:rsidRDefault="00143221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21">
              <w:rPr>
                <w:rFonts w:ascii="Times New Roman" w:hAnsi="Times New Roman" w:cs="Times New Roman"/>
                <w:sz w:val="24"/>
                <w:szCs w:val="24"/>
              </w:rPr>
              <w:t>Liczba budynków</w:t>
            </w:r>
          </w:p>
        </w:tc>
        <w:tc>
          <w:tcPr>
            <w:tcW w:w="3021" w:type="dxa"/>
            <w:gridSpan w:val="2"/>
            <w:vAlign w:val="center"/>
          </w:tcPr>
          <w:p w14:paraId="10AA7BBE" w14:textId="72FD7A80" w:rsidR="00143221" w:rsidRPr="00143221" w:rsidRDefault="003D0BB7" w:rsidP="00462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43221" w:rsidRPr="00143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 w zabudowie bliźniaczej</w:t>
            </w:r>
          </w:p>
        </w:tc>
      </w:tr>
      <w:tr w:rsidR="00143221" w14:paraId="1F123CA3" w14:textId="77777777" w:rsidTr="00143221">
        <w:trPr>
          <w:trHeight w:val="699"/>
          <w:jc w:val="center"/>
        </w:trPr>
        <w:tc>
          <w:tcPr>
            <w:tcW w:w="3114" w:type="dxa"/>
            <w:vMerge/>
          </w:tcPr>
          <w:p w14:paraId="4B8A7327" w14:textId="77777777" w:rsidR="00143221" w:rsidRDefault="00143221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19707C4E" w14:textId="1490C896" w:rsidR="00143221" w:rsidRDefault="00143221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221">
              <w:rPr>
                <w:rFonts w:ascii="Times New Roman" w:hAnsi="Times New Roman" w:cs="Times New Roman"/>
                <w:sz w:val="24"/>
                <w:szCs w:val="24"/>
              </w:rPr>
              <w:t>Rozmieszczenie ich na nieruchomości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gridSpan w:val="2"/>
            <w:vAlign w:val="center"/>
          </w:tcPr>
          <w:p w14:paraId="0B5D8DB6" w14:textId="144EEC3C" w:rsidR="00143221" w:rsidRPr="00143221" w:rsidRDefault="00143221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21">
              <w:rPr>
                <w:rFonts w:ascii="Times New Roman" w:hAnsi="Times New Roman" w:cs="Times New Roman"/>
                <w:sz w:val="24"/>
                <w:szCs w:val="24"/>
              </w:rPr>
              <w:t>Odległość domów od granic min: 4m</w:t>
            </w:r>
          </w:p>
        </w:tc>
      </w:tr>
      <w:tr w:rsidR="000D786E" w14:paraId="27BB803D" w14:textId="77777777" w:rsidTr="000D786E">
        <w:trPr>
          <w:jc w:val="center"/>
        </w:trPr>
        <w:tc>
          <w:tcPr>
            <w:tcW w:w="3114" w:type="dxa"/>
            <w:vAlign w:val="center"/>
          </w:tcPr>
          <w:p w14:paraId="19ACF190" w14:textId="44588DA5" w:rsidR="000D786E" w:rsidRPr="000D786E" w:rsidRDefault="000D786E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6E">
              <w:rPr>
                <w:rFonts w:ascii="Times New Roman" w:hAnsi="Times New Roman" w:cs="Times New Roman"/>
                <w:sz w:val="24"/>
                <w:szCs w:val="24"/>
              </w:rPr>
              <w:t>Sposób pomiaru powierzchni lokalu mieszkalnego lub domu jednorodzinnego</w:t>
            </w:r>
          </w:p>
        </w:tc>
        <w:tc>
          <w:tcPr>
            <w:tcW w:w="5948" w:type="dxa"/>
            <w:gridSpan w:val="4"/>
            <w:vAlign w:val="center"/>
          </w:tcPr>
          <w:p w14:paraId="3648F3BE" w14:textId="04C94177" w:rsidR="000D786E" w:rsidRPr="00EA4C28" w:rsidRDefault="00EA4C28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sz w:val="24"/>
                <w:szCs w:val="24"/>
              </w:rPr>
              <w:t xml:space="preserve">Zgodnie z normą PN-ISO 9836 z </w:t>
            </w:r>
            <w:r w:rsidR="008044F8" w:rsidRPr="008044F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A4C28" w14:paraId="12A51EEE" w14:textId="77777777" w:rsidTr="00EA4C28">
        <w:trPr>
          <w:jc w:val="center"/>
        </w:trPr>
        <w:tc>
          <w:tcPr>
            <w:tcW w:w="3114" w:type="dxa"/>
          </w:tcPr>
          <w:p w14:paraId="5F33712F" w14:textId="5438EE10" w:rsidR="00EA4C28" w:rsidRPr="00EA4C28" w:rsidRDefault="00EA4C28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28">
              <w:rPr>
                <w:rFonts w:ascii="Times New Roman" w:hAnsi="Times New Roman" w:cs="Times New Roman"/>
                <w:sz w:val="24"/>
                <w:szCs w:val="24"/>
              </w:rPr>
              <w:t>Zamierzony sposób i procentowy udział źródeł finansowania przedsięwzięcia deweloperskiego</w:t>
            </w:r>
            <w:r w:rsidR="009D59A9">
              <w:rPr>
                <w:rFonts w:ascii="Times New Roman" w:hAnsi="Times New Roman" w:cs="Times New Roman"/>
                <w:sz w:val="24"/>
                <w:szCs w:val="24"/>
              </w:rPr>
              <w:t xml:space="preserve"> lub zadania inwestycyjnego</w:t>
            </w:r>
          </w:p>
        </w:tc>
        <w:tc>
          <w:tcPr>
            <w:tcW w:w="5948" w:type="dxa"/>
            <w:gridSpan w:val="4"/>
            <w:vAlign w:val="center"/>
          </w:tcPr>
          <w:p w14:paraId="723FBF91" w14:textId="7F082597" w:rsidR="00EA4C28" w:rsidRPr="00EA4C28" w:rsidRDefault="00B474AF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Przedsięwzięcie deweloperskie finansowane będzie ze środków własnych Dewelopera oraz wpłat Nabywców</w:t>
            </w:r>
          </w:p>
        </w:tc>
      </w:tr>
      <w:tr w:rsidR="00AB3DB1" w14:paraId="6CDF51C1" w14:textId="77777777" w:rsidTr="00517A73">
        <w:trPr>
          <w:trHeight w:val="774"/>
          <w:jc w:val="center"/>
        </w:trPr>
        <w:tc>
          <w:tcPr>
            <w:tcW w:w="3114" w:type="dxa"/>
            <w:vMerge w:val="restart"/>
            <w:vAlign w:val="center"/>
          </w:tcPr>
          <w:p w14:paraId="63A050AC" w14:textId="281609F9" w:rsidR="00AB3DB1" w:rsidRPr="00EA4C28" w:rsidRDefault="00AB3DB1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Środki ochrony nabywców</w:t>
            </w:r>
          </w:p>
        </w:tc>
        <w:tc>
          <w:tcPr>
            <w:tcW w:w="2974" w:type="dxa"/>
            <w:gridSpan w:val="3"/>
            <w:vAlign w:val="center"/>
          </w:tcPr>
          <w:p w14:paraId="39FA6D64" w14:textId="639204FA" w:rsidR="00AB3DB1" w:rsidRPr="000E236E" w:rsidRDefault="00AB3DB1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B3DB1">
              <w:rPr>
                <w:rFonts w:ascii="Times New Roman" w:hAnsi="Times New Roman" w:cs="Times New Roman"/>
                <w:sz w:val="24"/>
                <w:szCs w:val="24"/>
              </w:rPr>
              <w:t>Otwarty mieszkaniowy rachunek powierniczy*</w:t>
            </w:r>
          </w:p>
        </w:tc>
        <w:tc>
          <w:tcPr>
            <w:tcW w:w="2974" w:type="dxa"/>
            <w:vAlign w:val="center"/>
          </w:tcPr>
          <w:p w14:paraId="7BA465B9" w14:textId="43624B53" w:rsidR="00AB3DB1" w:rsidRPr="003554E1" w:rsidRDefault="00AB3DB1" w:rsidP="00462292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highlight w:val="yellow"/>
              </w:rPr>
            </w:pPr>
            <w:r w:rsidRPr="003554E1">
              <w:rPr>
                <w:rFonts w:ascii="Times New Roman" w:hAnsi="Times New Roman" w:cs="Times New Roman"/>
                <w:strike/>
                <w:sz w:val="24"/>
                <w:szCs w:val="24"/>
              </w:rPr>
              <w:t>Zamknięty mieszkaniowy rachunek powierniczy*</w:t>
            </w:r>
          </w:p>
        </w:tc>
      </w:tr>
      <w:tr w:rsidR="00AB3DB1" w14:paraId="0FED07DB" w14:textId="77777777" w:rsidTr="00132C6F">
        <w:trPr>
          <w:trHeight w:val="1626"/>
          <w:jc w:val="center"/>
        </w:trPr>
        <w:tc>
          <w:tcPr>
            <w:tcW w:w="3114" w:type="dxa"/>
            <w:vMerge/>
            <w:vAlign w:val="center"/>
          </w:tcPr>
          <w:p w14:paraId="1D7103DC" w14:textId="77777777" w:rsidR="00AB3DB1" w:rsidRDefault="00AB3DB1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Align w:val="center"/>
          </w:tcPr>
          <w:p w14:paraId="064897A6" w14:textId="061A0EC0" w:rsidR="00AB3DB1" w:rsidRPr="000E236E" w:rsidRDefault="00AB3DB1" w:rsidP="00216C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B3DB1">
              <w:rPr>
                <w:rFonts w:ascii="Times New Roman" w:hAnsi="Times New Roman" w:cs="Times New Roman"/>
                <w:sz w:val="24"/>
                <w:szCs w:val="24"/>
              </w:rPr>
              <w:t>Wysokość stawki procentowej, według której jest obliczana kwota składki na Deweloperski Fundusz Gwarancyjny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14:paraId="13ADDC67" w14:textId="7E1F01A6" w:rsidR="00AB3DB1" w:rsidRPr="00132C6F" w:rsidRDefault="00132C6F" w:rsidP="00132C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0,45</w:t>
            </w:r>
          </w:p>
        </w:tc>
      </w:tr>
      <w:tr w:rsidR="000E236E" w14:paraId="3054AF78" w14:textId="77777777" w:rsidTr="000E236E">
        <w:trPr>
          <w:trHeight w:val="1835"/>
          <w:jc w:val="center"/>
        </w:trPr>
        <w:tc>
          <w:tcPr>
            <w:tcW w:w="3114" w:type="dxa"/>
            <w:vAlign w:val="center"/>
          </w:tcPr>
          <w:p w14:paraId="4E505A84" w14:textId="4B2FFEAE" w:rsidR="000E236E" w:rsidRDefault="000E236E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C28">
              <w:rPr>
                <w:rFonts w:ascii="Times New Roman" w:hAnsi="Times New Roman" w:cs="Times New Roman"/>
                <w:sz w:val="24"/>
                <w:szCs w:val="24"/>
              </w:rPr>
              <w:t>Główne zasady funkcjonowania wybranego rodzaju zabezpieczenia środków nabywcy</w:t>
            </w:r>
          </w:p>
        </w:tc>
        <w:tc>
          <w:tcPr>
            <w:tcW w:w="5948" w:type="dxa"/>
            <w:gridSpan w:val="4"/>
            <w:vAlign w:val="center"/>
          </w:tcPr>
          <w:p w14:paraId="2F65D17E" w14:textId="61307F83" w:rsidR="000E236E" w:rsidRPr="00E57344" w:rsidRDefault="000E236E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44">
              <w:rPr>
                <w:rFonts w:ascii="Times New Roman" w:hAnsi="Times New Roman" w:cs="Times New Roman"/>
                <w:sz w:val="24"/>
                <w:szCs w:val="24"/>
              </w:rPr>
              <w:t>Wpłaty na rachunek powierniczy będą następowały po zakończeniu poszczególnych etapów.</w:t>
            </w:r>
          </w:p>
          <w:p w14:paraId="79138A17" w14:textId="77777777" w:rsidR="000E236E" w:rsidRPr="00E57344" w:rsidRDefault="000E236E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F898" w14:textId="133B336C" w:rsidR="000E236E" w:rsidRDefault="000E236E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344">
              <w:rPr>
                <w:rFonts w:ascii="Times New Roman" w:hAnsi="Times New Roman" w:cs="Times New Roman"/>
                <w:sz w:val="24"/>
                <w:szCs w:val="24"/>
              </w:rPr>
              <w:t>Wypłata środków zgromadzonych na rachunku powierniczym nastąpi każdorazowo po zakończeniu poszczególnych etapów budowy.</w:t>
            </w:r>
          </w:p>
        </w:tc>
      </w:tr>
      <w:tr w:rsidR="000E236E" w14:paraId="6CE8BDB6" w14:textId="77777777" w:rsidTr="007642EE">
        <w:trPr>
          <w:trHeight w:val="1266"/>
          <w:jc w:val="center"/>
        </w:trPr>
        <w:tc>
          <w:tcPr>
            <w:tcW w:w="3114" w:type="dxa"/>
            <w:vAlign w:val="center"/>
          </w:tcPr>
          <w:p w14:paraId="3BDC56AD" w14:textId="207E9572" w:rsidR="000E236E" w:rsidRDefault="000E236E" w:rsidP="00462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36E">
              <w:rPr>
                <w:rFonts w:ascii="Times New Roman" w:hAnsi="Times New Roman" w:cs="Times New Roman"/>
                <w:sz w:val="24"/>
                <w:szCs w:val="24"/>
              </w:rPr>
              <w:t>Nazwa instytucji zapewniającej bezpieczeństwo środków nabywcy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14:paraId="0D9D76F1" w14:textId="37B5188E" w:rsidR="000E236E" w:rsidRPr="007D0739" w:rsidRDefault="000E236E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23">
              <w:rPr>
                <w:rFonts w:ascii="Times New Roman" w:hAnsi="Times New Roman" w:cs="Times New Roman"/>
                <w:sz w:val="24"/>
                <w:szCs w:val="24"/>
              </w:rPr>
              <w:t>ING Bank Śląski S.A.</w:t>
            </w:r>
          </w:p>
        </w:tc>
      </w:tr>
      <w:tr w:rsidR="000E236E" w14:paraId="24C8BC85" w14:textId="77777777" w:rsidTr="00A9678D">
        <w:trPr>
          <w:jc w:val="center"/>
        </w:trPr>
        <w:tc>
          <w:tcPr>
            <w:tcW w:w="3114" w:type="dxa"/>
            <w:vAlign w:val="center"/>
          </w:tcPr>
          <w:p w14:paraId="37C2D7DE" w14:textId="52744A89" w:rsidR="000E236E" w:rsidRPr="000E236E" w:rsidRDefault="000E236E" w:rsidP="004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6E">
              <w:rPr>
                <w:rFonts w:ascii="Times New Roman" w:hAnsi="Times New Roman" w:cs="Times New Roman"/>
                <w:sz w:val="24"/>
                <w:szCs w:val="24"/>
              </w:rPr>
              <w:t xml:space="preserve">Harmonogram przedsięwzięcia deweloperskiego </w:t>
            </w:r>
            <w:r w:rsidR="009D59A9">
              <w:rPr>
                <w:rFonts w:ascii="Times New Roman" w:hAnsi="Times New Roman" w:cs="Times New Roman"/>
                <w:sz w:val="24"/>
                <w:szCs w:val="24"/>
              </w:rPr>
              <w:t xml:space="preserve">lub zadania inwestycyjnego </w:t>
            </w:r>
          </w:p>
        </w:tc>
        <w:tc>
          <w:tcPr>
            <w:tcW w:w="5948" w:type="dxa"/>
            <w:gridSpan w:val="4"/>
            <w:vAlign w:val="center"/>
          </w:tcPr>
          <w:p w14:paraId="5CAE4638" w14:textId="33A97B7F" w:rsidR="000E236E" w:rsidRPr="000E236E" w:rsidRDefault="000E236E" w:rsidP="00462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Załącznik nr </w:t>
            </w:r>
            <w:r w:rsidR="001907BE" w:rsidRPr="0019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2BC7" w14:paraId="06C36919" w14:textId="77777777" w:rsidTr="003554E1">
        <w:trPr>
          <w:trHeight w:val="3959"/>
          <w:jc w:val="center"/>
        </w:trPr>
        <w:tc>
          <w:tcPr>
            <w:tcW w:w="3114" w:type="dxa"/>
            <w:vAlign w:val="center"/>
          </w:tcPr>
          <w:p w14:paraId="7434D45A" w14:textId="4E2A1999" w:rsidR="00442BC7" w:rsidRPr="00442BC7" w:rsidRDefault="00442BC7" w:rsidP="0021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C7">
              <w:rPr>
                <w:rFonts w:ascii="Times New Roman" w:hAnsi="Times New Roman" w:cs="Times New Roman"/>
                <w:sz w:val="24"/>
                <w:szCs w:val="24"/>
              </w:rPr>
              <w:t>Dopuszczenie waloryzacji oaz określenie waloryzacji</w:t>
            </w:r>
          </w:p>
        </w:tc>
        <w:tc>
          <w:tcPr>
            <w:tcW w:w="5948" w:type="dxa"/>
            <w:gridSpan w:val="4"/>
            <w:vAlign w:val="center"/>
          </w:tcPr>
          <w:p w14:paraId="2BDEC66F" w14:textId="55958EB2" w:rsidR="009D17C9" w:rsidRPr="009D17C9" w:rsidRDefault="00442BC7" w:rsidP="009D17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D17C9">
              <w:rPr>
                <w:rFonts w:ascii="Times New Roman" w:hAnsi="Times New Roman" w:cs="Times New Roman"/>
              </w:rPr>
              <w:t>Możliwość waloryzacji ceny jest możliwa jeśli zmieni się stawka podatku VAT, jeżeli taka zmiana nastąpi po podpisaniu umowy deweloperskiej.</w:t>
            </w:r>
            <w:r w:rsidR="009D17C9" w:rsidRPr="009D17C9">
              <w:t xml:space="preserve"> </w:t>
            </w:r>
            <w:r w:rsidR="009D17C9" w:rsidRPr="009D17C9">
              <w:rPr>
                <w:rFonts w:ascii="Times New Roman" w:hAnsi="Times New Roman" w:cs="Times New Roman"/>
              </w:rPr>
              <w:t>Dopuszcza</w:t>
            </w:r>
            <w:r w:rsidR="007D0739">
              <w:rPr>
                <w:rFonts w:ascii="Times New Roman" w:hAnsi="Times New Roman" w:cs="Times New Roman"/>
              </w:rPr>
              <w:t xml:space="preserve"> </w:t>
            </w:r>
            <w:r w:rsidR="009D17C9" w:rsidRPr="009D17C9">
              <w:rPr>
                <w:rFonts w:ascii="Times New Roman" w:hAnsi="Times New Roman" w:cs="Times New Roman"/>
              </w:rPr>
              <w:t>się waloryzację ceny również w przypadku różnicy powyżej 2% pomiędzy powierzchnią projektowaną, a tą z inwentaryzacji powykonawczej. Waloryzacja będzie polegać na zmianie ceny lokalu liczoną jako iloczyn</w:t>
            </w:r>
          </w:p>
          <w:p w14:paraId="7866AF95" w14:textId="3A7919A0" w:rsidR="009D17C9" w:rsidRPr="009D17C9" w:rsidRDefault="009D17C9" w:rsidP="009D17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D17C9">
              <w:rPr>
                <w:rFonts w:ascii="Times New Roman" w:hAnsi="Times New Roman" w:cs="Times New Roman"/>
              </w:rPr>
              <w:t>różnicy rzeczywistej powierzchni lokalu i powierzchni projektowanej razy cena metra kwadratowego powierzchni mieszkania, przy czym jeżeli powierzchnia lokalu będzie mniejsza od powierzchni określonej w dokumentacji projektowej, na skutek zgłoszonych przez stronę nabywającą zmian układu</w:t>
            </w:r>
          </w:p>
          <w:p w14:paraId="4A99BBB8" w14:textId="166AD593" w:rsidR="003554E1" w:rsidRPr="009D17C9" w:rsidRDefault="009D17C9" w:rsidP="009D17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D17C9">
              <w:rPr>
                <w:rFonts w:ascii="Times New Roman" w:hAnsi="Times New Roman" w:cs="Times New Roman"/>
              </w:rPr>
              <w:t xml:space="preserve">pomieszczeń, cena za przedmiotowy lokal nie ulegnie zmianie. </w:t>
            </w:r>
            <w:r w:rsidR="00442BC7" w:rsidRPr="009D17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5BC9" w14:paraId="7B2711E1" w14:textId="77777777" w:rsidTr="00B15BC9">
        <w:trPr>
          <w:trHeight w:val="1833"/>
          <w:jc w:val="center"/>
        </w:trPr>
        <w:tc>
          <w:tcPr>
            <w:tcW w:w="9062" w:type="dxa"/>
            <w:gridSpan w:val="5"/>
            <w:vAlign w:val="center"/>
          </w:tcPr>
          <w:p w14:paraId="5094E521" w14:textId="3402DF58" w:rsidR="00B15BC9" w:rsidRPr="00B15BC9" w:rsidRDefault="00B15BC9" w:rsidP="00216C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WARUNKI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ODSTĄPIENIA OD UMOWY DEWELOPERSKIEJ LUB UMOWY, O KTÓREJ MOWA W ART. 2 UST. 1 PKT 2, 3 LUB 5 USTAWU Z DNIA 2021 R. O OCHRONIE PRAW NABYWCY LOKALU MIESZKALNEGO LUB DOMU JEDNORODZINNEGO ORAZ DEWELOPERSKIM FUNDUSZU GWARACYJNYM</w:t>
            </w:r>
          </w:p>
        </w:tc>
      </w:tr>
      <w:tr w:rsidR="000F0EE5" w14:paraId="309E690B" w14:textId="77777777" w:rsidTr="000F0EE5">
        <w:trPr>
          <w:trHeight w:val="407"/>
          <w:jc w:val="center"/>
        </w:trPr>
        <w:tc>
          <w:tcPr>
            <w:tcW w:w="9062" w:type="dxa"/>
            <w:gridSpan w:val="5"/>
            <w:vAlign w:val="center"/>
          </w:tcPr>
          <w:p w14:paraId="072BA67B" w14:textId="7B2C9DA7" w:rsidR="000F0EE5" w:rsidRPr="000F0EE5" w:rsidRDefault="000F0EE5" w:rsidP="001852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odstąpienia od umowy deweloperskiej</w:t>
            </w:r>
          </w:p>
        </w:tc>
      </w:tr>
      <w:tr w:rsidR="009D59A9" w14:paraId="3ED5CC5E" w14:textId="77777777" w:rsidTr="00616337">
        <w:trPr>
          <w:trHeight w:val="81"/>
          <w:jc w:val="center"/>
        </w:trPr>
        <w:tc>
          <w:tcPr>
            <w:tcW w:w="9062" w:type="dxa"/>
            <w:gridSpan w:val="5"/>
            <w:vAlign w:val="center"/>
          </w:tcPr>
          <w:p w14:paraId="47634677" w14:textId="77777777" w:rsidR="009D59A9" w:rsidRDefault="009D59A9" w:rsidP="0018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266F" w14:textId="51B1F9EA" w:rsidR="000F0EE5" w:rsidRPr="000F0EE5" w:rsidRDefault="000F0EE5" w:rsidP="000F0EE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Nabywca ma prawo odstąpić od umowy deweloperskiej albo umowy, o której mowa w art. 2 ust. 1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2, 3 lub 5:</w:t>
            </w:r>
          </w:p>
          <w:p w14:paraId="0A32422F" w14:textId="750D0DE9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jeżeli umowa deweloperska albo umowa, o której mowa w art. 2 ust. 1 pkt 2, 3 lub 5, nie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odpowiednio elementów, o których mowa w art. 35, albo elementów, o których mowa w art. 36;</w:t>
            </w:r>
          </w:p>
          <w:p w14:paraId="5B4D491C" w14:textId="4C61B33D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jeżeli informacje zawarte w umowie deweloperskiej albo umowie, o której mowa w art. 2 ust. 1 pkt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2, 3 lub 5, nie są zgodne z informacjami zawartymi w prospekcie informacyjnym lub jego załącznikach,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z wyjątkiem zmian, o których mowa w art. 35 ust. 2;</w:t>
            </w:r>
          </w:p>
          <w:p w14:paraId="4EC8F8D6" w14:textId="5B26029A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jeżeli deweloper nie doręczył zgodnie z art. 21 lub art. 22 prospektu informacyjnego wraz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załącznikami lub informacji o zmianie danych lub informacji zawartych w prospekcie informacyjnym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lub jego załącznikach;</w:t>
            </w:r>
          </w:p>
          <w:p w14:paraId="2BADC8DF" w14:textId="5C3EA6CF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jeżeli dane lub informacje zawarte w prospekcie informacyjnym lub jego załącznikach, na podstawie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których zawarto umowę deweloperską albo umowę, o której mowa w art. 2 ust. 1 pkt 2, 3 lub 5, są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niezgodne ze stanem faktycznym lub prawnym w dniu zawarcia umowy;</w:t>
            </w:r>
          </w:p>
          <w:p w14:paraId="170BDFFC" w14:textId="6A923D5F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jeżeli prospekt informacyjny, na podstawie którego zawarto umowę deweloperską albo umowę,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której mowa w art. 2 ust. 1 pkt 2, 3 lub 5, nie zawiera danych lub informacji określonych we wzorze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prospektu informacyjnego;</w:t>
            </w:r>
          </w:p>
          <w:p w14:paraId="3A3824DD" w14:textId="07494E1E" w:rsid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 xml:space="preserve">w przypadku </w:t>
            </w:r>
            <w:proofErr w:type="spellStart"/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nieprzeniesienia</w:t>
            </w:r>
            <w:proofErr w:type="spellEnd"/>
            <w:r w:rsidRPr="000F0EE5">
              <w:rPr>
                <w:rFonts w:ascii="Times New Roman" w:hAnsi="Times New Roman" w:cs="Times New Roman"/>
                <w:sz w:val="24"/>
                <w:szCs w:val="24"/>
              </w:rPr>
              <w:t xml:space="preserve"> na nabywcę praw wynikających z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deweloperskiej albo umowy,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o której mowa w art. 2 ust. 1 pkt 2, 3 lub 5, w terminie wynikającym z tych umów;</w:t>
            </w:r>
          </w:p>
          <w:p w14:paraId="1EA0B2F9" w14:textId="77777777" w:rsidR="005F263B" w:rsidRPr="000F0EE5" w:rsidRDefault="005F263B" w:rsidP="005F263B">
            <w:pPr>
              <w:pStyle w:val="Akapitzlist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E7B5" w14:textId="224677E4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w przypadku gdy deweloper nie zawrze umowy mieszkaniowego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powierniczego z innym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bankiem w trybie i terminie, o których mowa w art. 10 ust.1;</w:t>
            </w:r>
          </w:p>
          <w:p w14:paraId="292813CE" w14:textId="04723901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w przypadku gdy deweloper nie posiada zgody wierzyciela hipotecznego lub zobowiązania do 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udzielenia, o których mowa w art. 25 ust. 1 pkt 1 lub 2;</w:t>
            </w:r>
          </w:p>
          <w:p w14:paraId="7D0BC85E" w14:textId="77777777" w:rsidR="009D17C9" w:rsidRDefault="000F0EE5" w:rsidP="009D17C9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w przypadku niewykonania przez dewelopera obowiązku, o którym mowa w art. 12 ust. 2,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terminie określonym w tym przepisie;</w:t>
            </w:r>
          </w:p>
          <w:p w14:paraId="5449F512" w14:textId="6D51FAB4" w:rsidR="000F0EE5" w:rsidRPr="009D17C9" w:rsidRDefault="000F0EE5" w:rsidP="009D17C9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7C9">
              <w:rPr>
                <w:rFonts w:ascii="Times New Roman" w:hAnsi="Times New Roman" w:cs="Times New Roman"/>
                <w:sz w:val="24"/>
                <w:szCs w:val="24"/>
              </w:rPr>
              <w:t>w przypadku nieusunięcia przez dewelopera wady istotnej lokalu mieszkalnego albo domu jednorodzinnego na zasadach określonych w art. 41 ust. 11;</w:t>
            </w:r>
          </w:p>
          <w:p w14:paraId="508F2691" w14:textId="068F2FE6" w:rsidR="000F0EE5" w:rsidRP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w przypadku stwierdzenia przez rzeczoznawcę istnienia wady istotnej, o którym mowa w art.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ust. 15;</w:t>
            </w:r>
          </w:p>
          <w:p w14:paraId="65B7FEB5" w14:textId="3E2D3677" w:rsidR="000F0EE5" w:rsidRDefault="000F0EE5" w:rsidP="00861D57">
            <w:pPr>
              <w:pStyle w:val="Akapitzlist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jeżeli syndyk zażądał wykonania umowy na podstawie art. 98 ustawy z dnia 28 lutego 2003 r.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E5">
              <w:rPr>
                <w:rFonts w:ascii="Times New Roman" w:hAnsi="Times New Roman" w:cs="Times New Roman"/>
                <w:sz w:val="24"/>
                <w:szCs w:val="24"/>
              </w:rPr>
              <w:t>Prawo upadłościowe.</w:t>
            </w:r>
          </w:p>
          <w:p w14:paraId="30267AD1" w14:textId="5CA63AD4" w:rsidR="000F0EE5" w:rsidRPr="00861D57" w:rsidRDefault="00861D57" w:rsidP="00861D5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>W przypadkach, o których mowa w ust. 1 pkt 1–5, nabywca ma prawo odstąpienia od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 xml:space="preserve">deweloperskiej albo umowy, o której mowa w art. 2 ust. 1 pkt 2, 3 lub 5, w terminie 30 dni od dnia </w:t>
            </w:r>
            <w:proofErr w:type="spellStart"/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>jejzawarcia</w:t>
            </w:r>
            <w:proofErr w:type="spellEnd"/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99BAB" w14:textId="47D5A704" w:rsidR="00861D57" w:rsidRPr="00861D57" w:rsidRDefault="000F0EE5" w:rsidP="00861D5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W przypadku, o którym mowa w ust. 1 pkt 6, przed skorzystaniem z prawa do</w:t>
            </w:r>
          </w:p>
          <w:p w14:paraId="00838E30" w14:textId="2C2B9968" w:rsidR="000F0EE5" w:rsidRPr="00861D57" w:rsidRDefault="000F0EE5" w:rsidP="00861D5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odstąpienia od umowy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nabywca wyznacza deweloperowi 120-dniowy termin na przeniesienie praw wynikających z umowy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deweloperskiej albo umowy, o której mowa w art. 2 ust. 1 pkt 2, 3 lub 5, a w razie bezskutecznego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upływu wyznaczonego terminu jest uprawniony do odstąpienia od tej umowy. Nabywca zachowuje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roszczenie z tytułu kary umownej za okres opóźnienia. Dziennik Ustaw – 16 – Poz. 1177</w:t>
            </w:r>
          </w:p>
          <w:p w14:paraId="1E242690" w14:textId="2B4B3D6F" w:rsidR="000F0EE5" w:rsidRPr="00861D57" w:rsidRDefault="000F0EE5" w:rsidP="00861D5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W przypadku, o którym mowa w ust. 1 pkt 7, nabywca ma prawo odstąpienia od umowy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deweloperskiej albo umowy, o której mowa w art. 2 ust. 1 pkt 2, 3 lub 5, po dokonaniu przez bank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zwrotu środków zgodnie z art. 10 ust. 3.</w:t>
            </w:r>
          </w:p>
          <w:p w14:paraId="63D736D8" w14:textId="525FDCCA" w:rsidR="00861D57" w:rsidRPr="00861D57" w:rsidRDefault="000F0EE5" w:rsidP="00861D5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W przypadku, o którym mowa w ust. 1 pkt 8, nabywca ma prawo odstąpienia od</w:t>
            </w:r>
          </w:p>
          <w:p w14:paraId="146A6FA5" w14:textId="7AB13BA7" w:rsidR="000F0EE5" w:rsidRPr="00861D57" w:rsidRDefault="000F0EE5" w:rsidP="00861D5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  <w:r w:rsidR="00861D57" w:rsidRP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deweloperskiej albo umowy, o której mowa w art. 2 ust. 1 pkt 2, 3 lub 5, w terminie 60 dni od dnia jej</w:t>
            </w:r>
            <w:r w:rsidR="0086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zawarcia.</w:t>
            </w:r>
          </w:p>
          <w:p w14:paraId="5E3D614F" w14:textId="73CB0BCE" w:rsidR="00861D57" w:rsidRPr="00861D57" w:rsidRDefault="000F0EE5" w:rsidP="00861D5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W przypadku, o którym mowa w ust. 1 pkt 9, nabywca ma prawo odstąpienia od</w:t>
            </w:r>
          </w:p>
          <w:p w14:paraId="0D2A2CA2" w14:textId="362C3F06" w:rsidR="000F0EE5" w:rsidRPr="00861D57" w:rsidRDefault="00861D57" w:rsidP="00861D57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>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>deweloperskiej albo umowy, o której mowa w art. 2 ust. 1 pkt 2, 3 lub 5, po upływie 60 dni od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E5" w:rsidRPr="00861D57">
              <w:rPr>
                <w:rFonts w:ascii="Times New Roman" w:hAnsi="Times New Roman" w:cs="Times New Roman"/>
                <w:sz w:val="24"/>
                <w:szCs w:val="24"/>
              </w:rPr>
              <w:t>podania do publicznej wiadomości informacji, o których mowa w art. 12 ust. 1.</w:t>
            </w:r>
          </w:p>
          <w:p w14:paraId="04F2F79D" w14:textId="7811F61B" w:rsidR="000F0EE5" w:rsidRPr="005F263B" w:rsidRDefault="000F0EE5" w:rsidP="005F26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63B">
              <w:rPr>
                <w:rFonts w:ascii="Times New Roman" w:hAnsi="Times New Roman" w:cs="Times New Roman"/>
                <w:sz w:val="24"/>
                <w:szCs w:val="24"/>
              </w:rPr>
              <w:t>W przypadku zmiany podatku od towarów i usług VAT</w:t>
            </w:r>
          </w:p>
          <w:p w14:paraId="6B1FD25B" w14:textId="160D0E84" w:rsidR="005F263B" w:rsidRPr="005F263B" w:rsidRDefault="005F263B" w:rsidP="005F263B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FC" w14:paraId="776A74EE" w14:textId="77777777" w:rsidTr="00616337">
        <w:trPr>
          <w:trHeight w:val="81"/>
          <w:jc w:val="center"/>
        </w:trPr>
        <w:tc>
          <w:tcPr>
            <w:tcW w:w="9062" w:type="dxa"/>
            <w:gridSpan w:val="5"/>
            <w:vAlign w:val="center"/>
          </w:tcPr>
          <w:p w14:paraId="76AD1A2B" w14:textId="77777777" w:rsidR="002448FC" w:rsidRPr="0018525A" w:rsidRDefault="002448FC" w:rsidP="0018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5416" w14:textId="14475886" w:rsidR="002448FC" w:rsidRPr="0018525A" w:rsidRDefault="0018525A" w:rsidP="003E07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5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</w:t>
            </w:r>
          </w:p>
        </w:tc>
      </w:tr>
      <w:tr w:rsidR="002448FC" w14:paraId="18B11F4F" w14:textId="77777777" w:rsidTr="002A502C">
        <w:trPr>
          <w:trHeight w:val="81"/>
          <w:jc w:val="center"/>
        </w:trPr>
        <w:tc>
          <w:tcPr>
            <w:tcW w:w="9062" w:type="dxa"/>
            <w:gridSpan w:val="5"/>
            <w:vAlign w:val="center"/>
          </w:tcPr>
          <w:p w14:paraId="107C1D14" w14:textId="1C266981" w:rsidR="002448FC" w:rsidRPr="000C69AD" w:rsidRDefault="002448FC" w:rsidP="0024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I. Informacja o:</w:t>
            </w:r>
          </w:p>
          <w:p w14:paraId="21265A62" w14:textId="5B63BBBF" w:rsidR="00832375" w:rsidRPr="00A77D58" w:rsidRDefault="002448FC" w:rsidP="00616337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zgodzie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 albo zgodzie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zobowiązaniu do jej udzielenia, jeżeli takie obciążenie istnieje;</w:t>
            </w:r>
          </w:p>
          <w:p w14:paraId="05D12E81" w14:textId="12D2C0E7" w:rsidR="002448FC" w:rsidRDefault="002448FC" w:rsidP="0083237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w przypadku umów, o których mowa w art. 2 ust. 2 ustawy z dnia 20 maja 2021 r. o ochronie praw nabywcy lokalu mieszkalnego lub domu jednorodzinnego oraz Deweloperskim Funduszu Gwarancyjnym, o zgodzie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przeniesienie własności lokalu użytkowego na nabywcę po wpłacie pełnej ceny przez nabywcę lub zobowiązaniu do udzielenia takiej zgody, jeżeli takie obciążenie istnieje, albo zgodzie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przeniesienie na nabywcę ułamkowej części własności lokalu użytkowego po wpłacie pełnej ceny przez nabywcę lub zobowiązaniu do udzielenia takiej zgody, jeżeli takie obciążenie istnieje.</w:t>
            </w:r>
          </w:p>
          <w:p w14:paraId="4DF47369" w14:textId="77777777" w:rsidR="00861D57" w:rsidRPr="00861D57" w:rsidRDefault="00861D57" w:rsidP="00861D5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6911" w14:textId="00AB6D5E" w:rsidR="00861D57" w:rsidRPr="00A77D58" w:rsidRDefault="00A77D58" w:rsidP="00861D57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 Starosty Krakowskiego z dnia 12.04.2024 roku, znak                                                     OS-II.6124.17.56.2024.CK ustala obowiązek właściciela do uiszczenia opłaty rocznej z tytułu wyłączenia gruntu z produkcji rolnej przeznaczonego na drogę wewnętrzną w kwocie 3 478 zł 16 gr (słownie: trzy tysiące czterysta siedemdziesiąt osiem złotych 16/100) uiszczaną przez 10 lat</w:t>
            </w:r>
          </w:p>
          <w:p w14:paraId="261CA8BA" w14:textId="77777777" w:rsidR="000C69AD" w:rsidRPr="000C69AD" w:rsidRDefault="000C69AD" w:rsidP="000C69A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E088" w14:textId="77777777" w:rsidR="000C69AD" w:rsidRPr="000C69AD" w:rsidRDefault="000C69AD" w:rsidP="000C69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II. Informacja o możliwości zapoznania się w lokalu przedsiębiorstwa przez osobę zainteresowaną zawarciem umowy odpowiednio do zakresu umowy z:</w:t>
            </w:r>
          </w:p>
          <w:p w14:paraId="6D9B70B5" w14:textId="77777777" w:rsidR="000C69AD" w:rsidRPr="000C69AD" w:rsidRDefault="000C69AD" w:rsidP="000C69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B6D92" w14:textId="7DEC61DF" w:rsidR="00616337" w:rsidRPr="00861D57" w:rsidRDefault="000C69AD" w:rsidP="00861D57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aktualnym stanem księgi wieczystej prowadzonej dla nieruchomości;</w:t>
            </w:r>
          </w:p>
          <w:p w14:paraId="7EE605BC" w14:textId="5962B5DF" w:rsidR="000C69AD" w:rsidRPr="000C69AD" w:rsidRDefault="000C69AD" w:rsidP="000C69AD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aktualnym odpisem, wyciągiem, zaświadczeniem lub wydrukiem komputerowym z Centralnej Informacji Krajowego Rejestru Sądowego, jeżeli podmiot podlega wpisowi do Krajowego Rejestru Sądowego, albo aktualnym zaświadczeniem o wpisie do Centralnej Ewidencji i Informacji o Działalności Gospodarczej;</w:t>
            </w:r>
          </w:p>
          <w:p w14:paraId="07C29B37" w14:textId="0121638A" w:rsidR="00616337" w:rsidRPr="00861D57" w:rsidRDefault="000C69AD" w:rsidP="00861D57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pozwoleniem na budowę albo zgłoszeniem budowy, o którym mowa w art. 29 ust. 1 pkt 1 ustawy z dnia 7 lipca 1994 r. – Prawo budowlane, do którego organ administracji architektoniczno-budowlanej nie wniósł sprzeciwu;</w:t>
            </w:r>
          </w:p>
          <w:p w14:paraId="3839AE0B" w14:textId="18296991" w:rsidR="000C69AD" w:rsidRPr="000C69AD" w:rsidRDefault="000C69AD" w:rsidP="0061633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sprawozdaniem finansowym dewelopera za ostatnie dwa lata, a w przypadku:</w:t>
            </w:r>
          </w:p>
          <w:p w14:paraId="17D6A67A" w14:textId="708C79B7" w:rsidR="000C69AD" w:rsidRPr="000C69AD" w:rsidRDefault="000C69AD" w:rsidP="00616337">
            <w:pPr>
              <w:pStyle w:val="Akapitzlist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prowadzenia działalności przez okres krótszy niż dwa lata – sprawozdaniem finansowym za okres ostatniego roku,</w:t>
            </w:r>
          </w:p>
          <w:p w14:paraId="4D2EE78B" w14:textId="6B5CF1C9" w:rsidR="00616337" w:rsidRPr="00861D57" w:rsidRDefault="000C69AD" w:rsidP="00861D57">
            <w:pPr>
              <w:pStyle w:val="Akapitzlist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realizacji inwestycji przez spółkę celową – sprawozdaniem spółki dominującej oraz spółki celowej;</w:t>
            </w:r>
          </w:p>
          <w:p w14:paraId="0CE3C340" w14:textId="5C8E481D" w:rsidR="00616337" w:rsidRPr="00861D57" w:rsidRDefault="000C69AD" w:rsidP="00861D5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projektem budowlanym;</w:t>
            </w:r>
          </w:p>
          <w:p w14:paraId="034816E9" w14:textId="017BE8ED" w:rsidR="00616337" w:rsidRPr="00861D57" w:rsidRDefault="000C69AD" w:rsidP="0061633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decyzją o pozwoleniu na użytkowanie budynku lub zawiadomieniem o zakończeniu budowy, do którego organ nadzoru budowlanego nie wniósł sprzeciwu;</w:t>
            </w:r>
          </w:p>
          <w:p w14:paraId="7AD1B636" w14:textId="3E1D45D4" w:rsidR="00616337" w:rsidRPr="00861D57" w:rsidRDefault="000C69AD" w:rsidP="0061633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zaświadczeniem o samodzielności lokalu;</w:t>
            </w:r>
          </w:p>
          <w:p w14:paraId="59C6D0B4" w14:textId="0F2CE216" w:rsidR="00616337" w:rsidRPr="00861D57" w:rsidRDefault="000C69AD" w:rsidP="00861D5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7">
              <w:rPr>
                <w:rFonts w:ascii="Times New Roman" w:hAnsi="Times New Roman" w:cs="Times New Roman"/>
                <w:sz w:val="24"/>
                <w:szCs w:val="24"/>
              </w:rPr>
              <w:t>aktem ustanowienia odrębnej własności lokalu</w:t>
            </w:r>
            <w:r w:rsidR="00616337" w:rsidRPr="006163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EF44A9" w14:textId="57E182D0" w:rsidR="000C69AD" w:rsidRPr="00861D57" w:rsidRDefault="000C69AD" w:rsidP="00861D57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57">
              <w:rPr>
                <w:rFonts w:ascii="Times New Roman" w:hAnsi="Times New Roman" w:cs="Times New Roman"/>
                <w:sz w:val="24"/>
                <w:szCs w:val="24"/>
              </w:rPr>
              <w:t>dokumentem potwierdzającym:</w:t>
            </w:r>
          </w:p>
          <w:p w14:paraId="6D685DC0" w14:textId="77777777" w:rsidR="00861D57" w:rsidRPr="00861D57" w:rsidRDefault="00861D57" w:rsidP="00861D57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6FE4" w14:textId="7793871F" w:rsidR="000C69AD" w:rsidRPr="000C69AD" w:rsidRDefault="000C69AD" w:rsidP="000C69A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a) zgodę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ustanowienie odrębnej własności lokalu mieszkalnego i przeniesienie jego własności na nabywcę po wpłacie pełnej ceny przez nabywcę lub zobowiązanie do jej udzielenia, jeżeli takie obciążenie istnieje, albo zgodę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</w:t>
            </w:r>
          </w:p>
          <w:p w14:paraId="2C0D3E92" w14:textId="1F41E1A9" w:rsidR="000C69AD" w:rsidRPr="000C69AD" w:rsidRDefault="000C69AD" w:rsidP="000C69A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nieruchomości wraz z prawem do wyłącznego korzystania z części nieruchomości służącej zaspokajaniu potrzeb mieszkaniowych po wpłacie pełnej ceny przez nabywcę lub zobowiązanie do jej udzielenia, jeżeli takie obciążenie istnieje,</w:t>
            </w:r>
          </w:p>
          <w:p w14:paraId="2CF20E92" w14:textId="77777777" w:rsidR="000C69AD" w:rsidRPr="000C69AD" w:rsidRDefault="000C69AD" w:rsidP="000C69A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0BBF" w14:textId="0577258B" w:rsidR="000C69AD" w:rsidRPr="000C69AD" w:rsidRDefault="000C69AD" w:rsidP="000C69A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b) w przypadku umów, o których mowa w art. 2 ust. 2 ustawy z dnia 20 maja 2021 r. o ochronie praw nabywcy lokalu mieszkalnego lub domu jednorodzinnego oraz Deweloperskim Funduszu Gwarancyjnym, zgodę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przeniesienie własności lokalu</w:t>
            </w:r>
          </w:p>
          <w:p w14:paraId="39F0170A" w14:textId="1812B89F" w:rsidR="000C69AD" w:rsidRDefault="000C69AD" w:rsidP="000C69A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użytkowego na nabywcę po wpłacie pełnej ceny przez nabywcę lub zobowiązanie do udzielenia takiej zgody, jeżeli takie obciążenie istnieje, albo zgodę banku lub innego wierzyciela hipotecznego na </w:t>
            </w:r>
            <w:proofErr w:type="spellStart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bezobciążeniowe</w:t>
            </w:r>
            <w:proofErr w:type="spellEnd"/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 przeniesienie na nabywcę ułamkowej części własności lokalu użytkowego po wpłacie pełnej ceny przez nabywcę lub zobowiązanie do udzielenia takiej zgody, jeżeli takie obciążenie istnieje.</w:t>
            </w:r>
          </w:p>
          <w:p w14:paraId="55A94664" w14:textId="77777777" w:rsidR="00616337" w:rsidRPr="000C69AD" w:rsidRDefault="00616337" w:rsidP="0024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4ADF8" w14:textId="77777777" w:rsidR="000C69AD" w:rsidRPr="000C69AD" w:rsidRDefault="000C69AD" w:rsidP="000C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III. Informacja:</w:t>
            </w:r>
          </w:p>
          <w:p w14:paraId="2AACDE33" w14:textId="77777777" w:rsidR="000C69AD" w:rsidRPr="000C69AD" w:rsidRDefault="000C69AD" w:rsidP="000C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31C4" w14:textId="13B6BC5F" w:rsidR="000C69AD" w:rsidRDefault="000C69AD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>Środki pieniężne zgromadzone w</w:t>
            </w:r>
            <w:r w:rsidR="00616337" w:rsidRPr="007642EE">
              <w:rPr>
                <w:rFonts w:ascii="Times New Roman" w:hAnsi="Times New Roman" w:cs="Times New Roman"/>
                <w:sz w:val="24"/>
                <w:szCs w:val="24"/>
              </w:rPr>
              <w:t xml:space="preserve"> ING BANK ŚLĄSKI S.A.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>, prowadzącym otwarty mieszkaniowy rachunek powierniczy albo zamknięty mieszkaniowy ra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chunek powierniczy, są objęte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ochroną obowiązkowego systemu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gwarantowania depozytów, na zasadach określonych w ustawie z dnia 10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2016 r. o Bankowym Funduszu Gwarancyjnym, systemie gwarantowania depozytów oraz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przymusowej restrukturyzacji (Dz. U. z 2020 r. poz. 842 oraz z 2021 r. poz. 680 i 1177).</w:t>
            </w:r>
          </w:p>
          <w:p w14:paraId="100A6481" w14:textId="77777777" w:rsidR="00616337" w:rsidRDefault="00616337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139A" w14:textId="430E20BA" w:rsidR="000C69AD" w:rsidRDefault="000C69AD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Informacje podstawowe o obowiązkowym systemie gwarantowania depozytów:</w:t>
            </w:r>
          </w:p>
          <w:p w14:paraId="60CA14C1" w14:textId="77777777" w:rsidR="000C69AD" w:rsidRPr="000C69AD" w:rsidRDefault="000C69AD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E8B7" w14:textId="77777777" w:rsidR="00616337" w:rsidRDefault="000C69AD" w:rsidP="00616337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ochrona środków dotyczy sytuacji spełnienia warunku gwarancji wobec </w:t>
            </w:r>
          </w:p>
          <w:p w14:paraId="2016AC57" w14:textId="17413F66" w:rsidR="000C69AD" w:rsidRPr="007D0739" w:rsidRDefault="00616337" w:rsidP="00616337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8">
              <w:rPr>
                <w:rFonts w:ascii="Times New Roman" w:hAnsi="Times New Roman" w:cs="Times New Roman"/>
                <w:sz w:val="24"/>
                <w:szCs w:val="24"/>
              </w:rPr>
              <w:t>ING BANK ŚLĄSKI S.A.</w:t>
            </w:r>
            <w:r w:rsidR="000C69AD" w:rsidRPr="00A77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9B7E2" w14:textId="4D93221E" w:rsidR="00083694" w:rsidRPr="00616337" w:rsidRDefault="000C69AD" w:rsidP="00616337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w przypadku rachunku powierniczego deponentem (uprawnionym do środków</w:t>
            </w:r>
            <w:r w:rsidR="00BD2DFF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gwarantowanych) jest każdy</w:t>
            </w:r>
            <w:r w:rsidR="00083694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z powierzających, w granicach wynikających z jego udziału w kwocie zgromadzonej na tym rachunku, a w granicach pozostałej kwoty na rachunku prawo do środków gwarantowanych ma powiernik,</w:t>
            </w:r>
          </w:p>
          <w:p w14:paraId="55258337" w14:textId="1E712E5B" w:rsidR="00083694" w:rsidRPr="00616337" w:rsidRDefault="000C69AD" w:rsidP="00616337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limit gwarancyjny przypadający na jednego deponenta to równowartość w złotych 100 000 euro; w przypadkach</w:t>
            </w:r>
            <w:r w:rsidR="00083694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określonych w art. 24 ust. 3 i 4 ustawy z dnia 10 czerwca 2016 r. o Bankowym Funduszu Gwarancyjnym, systemie gwarantowania depozytów oraz przymusowej restrukturyzacji, środki deponenta, w terminie 3 miesięcy od</w:t>
            </w:r>
            <w:r w:rsidR="00083694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dnia ich wpływu na rachunek, objęte są gwarancjami ponad równowartość w złotych 100 000 euro,</w:t>
            </w:r>
          </w:p>
          <w:p w14:paraId="18AD79CC" w14:textId="08709A67" w:rsidR="00083694" w:rsidRPr="00616337" w:rsidRDefault="000C69AD" w:rsidP="00616337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podstawą wyliczenia kwoty środków gwarantowanych należnej deponentowi jest suma wszystkich podlegających ochronie należności tego deponenta od banku, w tym należności z tytułu środków zgromadzonych na jego</w:t>
            </w:r>
            <w:r w:rsidR="00083694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rachunkach osobistych i z tytułu jego udziału w środkach zgromadzonych na rachunku powierniczym,</w:t>
            </w:r>
          </w:p>
          <w:p w14:paraId="00D328D5" w14:textId="786ED63F" w:rsidR="00BD2DFF" w:rsidRPr="00616337" w:rsidRDefault="000C69AD" w:rsidP="00616337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wypłata środków gwarantowanych – co do zasady – następuje w terminie 7 dni</w:t>
            </w:r>
            <w:r w:rsidR="00083694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roboczych od dnia spełnienia</w:t>
            </w:r>
            <w:r w:rsidR="00083694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warunku gwarancji wobec banku,</w:t>
            </w:r>
          </w:p>
          <w:p w14:paraId="63F4F529" w14:textId="657F950C" w:rsidR="00BD2DFF" w:rsidRPr="00616337" w:rsidRDefault="000C69AD" w:rsidP="00616337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F">
              <w:rPr>
                <w:rFonts w:ascii="Times New Roman" w:hAnsi="Times New Roman" w:cs="Times New Roman"/>
                <w:sz w:val="24"/>
                <w:szCs w:val="24"/>
              </w:rPr>
              <w:t>wypłata środków gwarantowanych jest dokonywana w złotych,</w:t>
            </w:r>
          </w:p>
          <w:p w14:paraId="39604430" w14:textId="4A36D338" w:rsidR="000C69AD" w:rsidRPr="00BD2DFF" w:rsidRDefault="00616337" w:rsidP="00616337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58">
              <w:rPr>
                <w:rFonts w:ascii="Times New Roman" w:hAnsi="Times New Roman" w:cs="Times New Roman"/>
                <w:sz w:val="24"/>
                <w:szCs w:val="24"/>
              </w:rPr>
              <w:t>ING BANK ŚLĄSKI S.A</w:t>
            </w:r>
            <w:r w:rsidRPr="0076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9AD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korzysta także z następujących</w:t>
            </w:r>
            <w:r w:rsidR="00BD2DFF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9AD" w:rsidRPr="00BD2DFF">
              <w:rPr>
                <w:rFonts w:ascii="Times New Roman" w:hAnsi="Times New Roman" w:cs="Times New Roman"/>
                <w:sz w:val="24"/>
                <w:szCs w:val="24"/>
              </w:rPr>
              <w:t xml:space="preserve">znaków towarowych: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nie dotyczy</w:t>
            </w:r>
          </w:p>
          <w:p w14:paraId="66F45505" w14:textId="77777777" w:rsidR="00BD2DFF" w:rsidRPr="000C69AD" w:rsidRDefault="00BD2DFF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C8DE" w14:textId="77777777" w:rsidR="000C69AD" w:rsidRPr="000C69AD" w:rsidRDefault="000C69AD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Dalsze informacje na temat systemu gwarantowania depozytów można uzyskać na stronie internetowej Bankowego</w:t>
            </w:r>
          </w:p>
          <w:p w14:paraId="473AC7E9" w14:textId="6E32C86F" w:rsidR="000C69AD" w:rsidRDefault="000C69AD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 xml:space="preserve">Funduszu Gwarancyjnego: </w:t>
            </w:r>
            <w:hyperlink r:id="rId9" w:history="1">
              <w:r w:rsidR="00BD2DFF" w:rsidRPr="00A77D58">
                <w:rPr>
                  <w:rFonts w:ascii="Times New Roman" w:hAnsi="Times New Roman" w:cs="Times New Roman"/>
                  <w:sz w:val="24"/>
                  <w:szCs w:val="24"/>
                </w:rPr>
                <w:t>https://www.bfg.pl/</w:t>
              </w:r>
            </w:hyperlink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DB38B2" w14:textId="77777777" w:rsidR="00BD2DFF" w:rsidRPr="000C69AD" w:rsidRDefault="00BD2DFF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B7E5" w14:textId="104B8BD1" w:rsidR="000C69AD" w:rsidRPr="000C69AD" w:rsidRDefault="000C69AD" w:rsidP="00BD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Informacja zamieszczana w przypadku zawarcia umowy mieszkaniowego rachunku powierniczego z oddziałem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instytucji kredytowej w rozumieniu art. 4 ust. 1 pkt 18 ustawy z dnia 29 sierpnia 1997 r. – Prawo bankowe (Dz. U.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z 2020 r. poz. 1896, 2320 i 2419 oraz z 2021 r. poz. 432, 680, 815 i 1177).</w:t>
            </w:r>
          </w:p>
          <w:p w14:paraId="4A14BD5B" w14:textId="365A3E7A" w:rsidR="00616337" w:rsidRPr="00616337" w:rsidRDefault="000C69AD" w:rsidP="0061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Oddział instytucji kredytowej w rozumieniu art. 4 ust. 1 pkt 18 ustawy z dnia 29 sierpnia 1997 r. – Prawo bankowe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jest objęty systemem gwarantowania państwa macierzystego, co oznacza, że nie mają do niego zastosowania przepisy ustawy z dnia 10 czerwca 2016 r. o Bankowym Funduszu Gwarancyjnym, systemie gwarantowania depozytów oraz</w:t>
            </w:r>
            <w:r w:rsidR="00BD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AD">
              <w:rPr>
                <w:rFonts w:ascii="Times New Roman" w:hAnsi="Times New Roman" w:cs="Times New Roman"/>
                <w:sz w:val="24"/>
                <w:szCs w:val="24"/>
              </w:rPr>
              <w:t>przymusowej restrukturyzacji.</w:t>
            </w:r>
          </w:p>
        </w:tc>
      </w:tr>
    </w:tbl>
    <w:p w14:paraId="53701C9C" w14:textId="392E220E" w:rsidR="00D90E79" w:rsidRDefault="00C117B2" w:rsidP="00D90E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17B2">
        <w:rPr>
          <w:rFonts w:ascii="Times New Roman" w:hAnsi="Times New Roman" w:cs="Times New Roman"/>
          <w:b/>
          <w:bCs/>
          <w:sz w:val="28"/>
          <w:szCs w:val="28"/>
        </w:rPr>
        <w:lastRenderedPageBreak/>
        <w:t>CZ</w:t>
      </w:r>
      <w:r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Pr="00C117B2">
        <w:rPr>
          <w:rFonts w:ascii="Times New Roman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Pr="00C117B2">
        <w:rPr>
          <w:rFonts w:ascii="Times New Roman" w:hAnsi="Times New Roman" w:cs="Times New Roman"/>
          <w:b/>
          <w:bCs/>
          <w:sz w:val="28"/>
          <w:szCs w:val="28"/>
        </w:rPr>
        <w:t xml:space="preserve"> INDYWIDUALNA </w:t>
      </w:r>
    </w:p>
    <w:p w14:paraId="33DC1F35" w14:textId="57E866B4" w:rsidR="00C117B2" w:rsidRDefault="00C117B2" w:rsidP="00D90E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 jednorodzinny nr </w:t>
      </w:r>
      <w:r w:rsidR="00D41F23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6F388574" w14:textId="77777777" w:rsidR="00D90E79" w:rsidRPr="00D90E79" w:rsidRDefault="00D90E79" w:rsidP="00D90E7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291A" w14:paraId="20F92BB9" w14:textId="77777777" w:rsidTr="00E4291A">
        <w:trPr>
          <w:trHeight w:val="502"/>
        </w:trPr>
        <w:tc>
          <w:tcPr>
            <w:tcW w:w="6041" w:type="dxa"/>
            <w:gridSpan w:val="2"/>
            <w:shd w:val="clear" w:color="auto" w:fill="D9D9D9" w:themeFill="background1" w:themeFillShade="D9"/>
            <w:vAlign w:val="center"/>
          </w:tcPr>
          <w:p w14:paraId="06AADC1D" w14:textId="61D2FB1C" w:rsidR="00E4291A" w:rsidRDefault="00E4291A" w:rsidP="00E42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7B2">
              <w:rPr>
                <w:rFonts w:ascii="Times New Roman" w:hAnsi="Times New Roman" w:cs="Times New Roman"/>
                <w:sz w:val="24"/>
                <w:szCs w:val="24"/>
              </w:rPr>
              <w:t>Cena lokalu mieszkalnego albo domu jednorodzinnego</w:t>
            </w:r>
          </w:p>
        </w:tc>
        <w:tc>
          <w:tcPr>
            <w:tcW w:w="3021" w:type="dxa"/>
            <w:vAlign w:val="center"/>
          </w:tcPr>
          <w:p w14:paraId="72B83C96" w14:textId="1AD433A1" w:rsidR="00E4291A" w:rsidRDefault="00D41F23" w:rsidP="00C1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1 399 000,00</w:t>
            </w:r>
          </w:p>
        </w:tc>
      </w:tr>
      <w:tr w:rsidR="00E4291A" w14:paraId="67A61761" w14:textId="77777777" w:rsidTr="00E4291A">
        <w:trPr>
          <w:trHeight w:val="695"/>
        </w:trPr>
        <w:tc>
          <w:tcPr>
            <w:tcW w:w="6041" w:type="dxa"/>
            <w:gridSpan w:val="2"/>
            <w:shd w:val="clear" w:color="auto" w:fill="D9D9D9" w:themeFill="background1" w:themeFillShade="D9"/>
            <w:vAlign w:val="center"/>
          </w:tcPr>
          <w:p w14:paraId="4546F230" w14:textId="01DBB46D" w:rsidR="00E4291A" w:rsidRDefault="00E4291A" w:rsidP="00C11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użytkowa lokalu mieszkalnego albo domu jednorodzinnego</w:t>
            </w:r>
          </w:p>
        </w:tc>
        <w:tc>
          <w:tcPr>
            <w:tcW w:w="3021" w:type="dxa"/>
            <w:vAlign w:val="center"/>
          </w:tcPr>
          <w:p w14:paraId="21F24DF9" w14:textId="52680062" w:rsidR="00E4291A" w:rsidRDefault="00D41F23" w:rsidP="00E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130,39</w:t>
            </w:r>
          </w:p>
        </w:tc>
      </w:tr>
      <w:tr w:rsidR="00E4291A" w14:paraId="28C4F013" w14:textId="77777777" w:rsidTr="00E4291A">
        <w:trPr>
          <w:trHeight w:val="847"/>
        </w:trPr>
        <w:tc>
          <w:tcPr>
            <w:tcW w:w="6041" w:type="dxa"/>
            <w:gridSpan w:val="2"/>
            <w:shd w:val="clear" w:color="auto" w:fill="D9D9D9" w:themeFill="background1" w:themeFillShade="D9"/>
            <w:vAlign w:val="center"/>
          </w:tcPr>
          <w:p w14:paraId="0CFEB466" w14:textId="6CC42A00" w:rsidR="00E4291A" w:rsidRDefault="00E4291A" w:rsidP="00C11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m2 powierzchni użytkowej lokalu mieszkalnego albo domu jednorodzinnego</w:t>
            </w:r>
          </w:p>
        </w:tc>
        <w:tc>
          <w:tcPr>
            <w:tcW w:w="3021" w:type="dxa"/>
            <w:vAlign w:val="center"/>
          </w:tcPr>
          <w:p w14:paraId="433D7BD8" w14:textId="78CF1B7E" w:rsidR="00E4291A" w:rsidRDefault="00D41F23" w:rsidP="00E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10 729.35</w:t>
            </w:r>
          </w:p>
        </w:tc>
      </w:tr>
      <w:tr w:rsidR="00E4291A" w14:paraId="1DC5E575" w14:textId="77777777" w:rsidTr="00E4291A">
        <w:trPr>
          <w:trHeight w:val="847"/>
        </w:trPr>
        <w:tc>
          <w:tcPr>
            <w:tcW w:w="6041" w:type="dxa"/>
            <w:gridSpan w:val="2"/>
            <w:shd w:val="clear" w:color="auto" w:fill="D9D9D9" w:themeFill="background1" w:themeFillShade="D9"/>
            <w:vAlign w:val="center"/>
          </w:tcPr>
          <w:p w14:paraId="576C4736" w14:textId="1A36C8DB" w:rsidR="00E4291A" w:rsidRDefault="00E4291A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76">
              <w:rPr>
                <w:rFonts w:ascii="Times New Roman" w:hAnsi="Times New Roman" w:cs="Times New Roman"/>
                <w:sz w:val="20"/>
                <w:szCs w:val="20"/>
              </w:rPr>
              <w:t>Termin, do którego nastąpi przeniesienie prawa własności nieruchomości wynikającego z umowy deweloperskiej lub jednej z umów, o których mowa w art. 2 ust. 1 pkt 2, 3 lub 5 ust. 2 ustawy z dnia 20 maja 2021 r. o ochronie praw nabywcy lokalu mieszkalnego lub domu jednorodzinnego oraz Deweloperskim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376">
              <w:rPr>
                <w:rFonts w:ascii="Times New Roman" w:hAnsi="Times New Roman" w:cs="Times New Roman"/>
                <w:sz w:val="20"/>
                <w:szCs w:val="20"/>
              </w:rPr>
              <w:t>Funduszu Gwarancyjnym</w:t>
            </w:r>
          </w:p>
        </w:tc>
        <w:tc>
          <w:tcPr>
            <w:tcW w:w="3021" w:type="dxa"/>
            <w:vAlign w:val="center"/>
          </w:tcPr>
          <w:p w14:paraId="6FF4CF69" w14:textId="648BC4D8" w:rsidR="00E4291A" w:rsidRDefault="00E4291A" w:rsidP="00E42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</w:t>
            </w:r>
            <w:r w:rsidR="00CD5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CD5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791923" w14:paraId="52F6EB74" w14:textId="77777777" w:rsidTr="00D90E79">
        <w:trPr>
          <w:trHeight w:val="489"/>
        </w:trPr>
        <w:tc>
          <w:tcPr>
            <w:tcW w:w="3020" w:type="dxa"/>
            <w:vMerge w:val="restart"/>
          </w:tcPr>
          <w:p w14:paraId="12F2B133" w14:textId="02E4A8BB" w:rsidR="00791923" w:rsidRPr="00D90E79" w:rsidRDefault="00791923" w:rsidP="00D90E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E79">
              <w:rPr>
                <w:rFonts w:ascii="Times New Roman" w:hAnsi="Times New Roman" w:cs="Times New Roman"/>
                <w:sz w:val="20"/>
                <w:szCs w:val="20"/>
              </w:rPr>
              <w:t>Określenie położenia oraz istotnych cech domu jednorodzinnego albo budynku, w którym ma znajdować się lokal mieszkalny będący przedmiotem umowy rezerwacyjnej albo umowy deweloperskiej lub jednej z umów, o których mowa w art. 2 ust. 1 pkt 2, 3 lub 5 lub ust. 2 ustawy z dnia 20 maja 2021 r. o chronię praw nabywcy lokalu mieszkalnego lub domu jednorodzinnego oraz Deweloperskim Funduszu Gwarancyjnym</w:t>
            </w:r>
          </w:p>
        </w:tc>
        <w:tc>
          <w:tcPr>
            <w:tcW w:w="3021" w:type="dxa"/>
            <w:vAlign w:val="center"/>
          </w:tcPr>
          <w:p w14:paraId="0384A109" w14:textId="6D790A80" w:rsidR="00791923" w:rsidRPr="00332C1F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1F">
              <w:rPr>
                <w:rFonts w:ascii="Times New Roman" w:hAnsi="Times New Roman" w:cs="Times New Roman"/>
                <w:sz w:val="24"/>
                <w:szCs w:val="24"/>
              </w:rPr>
              <w:t>Liczba kondyg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2C1F">
              <w:rPr>
                <w:rFonts w:ascii="Times New Roman" w:hAnsi="Times New Roman" w:cs="Times New Roman"/>
                <w:sz w:val="24"/>
                <w:szCs w:val="24"/>
              </w:rPr>
              <w:t>acji</w:t>
            </w:r>
          </w:p>
        </w:tc>
        <w:tc>
          <w:tcPr>
            <w:tcW w:w="3021" w:type="dxa"/>
            <w:vAlign w:val="center"/>
          </w:tcPr>
          <w:p w14:paraId="12228FE4" w14:textId="2EDEF1B5" w:rsidR="00791923" w:rsidRPr="00791923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23">
              <w:rPr>
                <w:rFonts w:ascii="Times New Roman" w:hAnsi="Times New Roman" w:cs="Times New Roman"/>
                <w:sz w:val="24"/>
                <w:szCs w:val="24"/>
              </w:rPr>
              <w:t>Parter + poddasze użytkowe</w:t>
            </w:r>
          </w:p>
        </w:tc>
      </w:tr>
      <w:tr w:rsidR="00791923" w14:paraId="54112D28" w14:textId="77777777" w:rsidTr="00D90E79">
        <w:trPr>
          <w:trHeight w:val="425"/>
        </w:trPr>
        <w:tc>
          <w:tcPr>
            <w:tcW w:w="3020" w:type="dxa"/>
            <w:vMerge/>
          </w:tcPr>
          <w:p w14:paraId="65B3A1DF" w14:textId="77777777" w:rsidR="00791923" w:rsidRPr="00C117B2" w:rsidRDefault="00791923" w:rsidP="00C117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755D4F5" w14:textId="7D7E0349" w:rsidR="00791923" w:rsidRPr="00332C1F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1F">
              <w:rPr>
                <w:rFonts w:ascii="Times New Roman" w:hAnsi="Times New Roman" w:cs="Times New Roman"/>
                <w:sz w:val="24"/>
                <w:szCs w:val="24"/>
              </w:rPr>
              <w:t>Technologia wykonania</w:t>
            </w:r>
          </w:p>
        </w:tc>
        <w:tc>
          <w:tcPr>
            <w:tcW w:w="3021" w:type="dxa"/>
            <w:vAlign w:val="center"/>
          </w:tcPr>
          <w:p w14:paraId="72D798E3" w14:textId="355DF419" w:rsidR="00791923" w:rsidRPr="00D90E79" w:rsidRDefault="00791923" w:rsidP="00C11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2</w:t>
            </w:r>
          </w:p>
        </w:tc>
      </w:tr>
      <w:tr w:rsidR="00791923" w14:paraId="48A17DEC" w14:textId="77777777" w:rsidTr="00D90E79">
        <w:trPr>
          <w:trHeight w:val="971"/>
        </w:trPr>
        <w:tc>
          <w:tcPr>
            <w:tcW w:w="3020" w:type="dxa"/>
            <w:vMerge/>
          </w:tcPr>
          <w:p w14:paraId="31FE3891" w14:textId="77777777" w:rsidR="00791923" w:rsidRPr="00C117B2" w:rsidRDefault="00791923" w:rsidP="00C117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0CCCEC6" w14:textId="1DFB9A29" w:rsidR="00791923" w:rsidRPr="00791923" w:rsidRDefault="00791923" w:rsidP="00C1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923">
              <w:rPr>
                <w:rFonts w:ascii="Times New Roman" w:hAnsi="Times New Roman" w:cs="Times New Roman"/>
                <w:sz w:val="20"/>
                <w:szCs w:val="20"/>
              </w:rPr>
              <w:t>Standard prac wykończeniowych w części wspólnej budynku i terenie wokół niego, stanowiącym część wspólną nieruchomości</w:t>
            </w:r>
          </w:p>
        </w:tc>
        <w:tc>
          <w:tcPr>
            <w:tcW w:w="3021" w:type="dxa"/>
          </w:tcPr>
          <w:p w14:paraId="373FB4F1" w14:textId="77777777" w:rsidR="00791923" w:rsidRDefault="00791923" w:rsidP="00C11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2528F8" w14:textId="21B812CF" w:rsidR="00791923" w:rsidRPr="001907BE" w:rsidRDefault="001907BE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BE">
              <w:rPr>
                <w:rFonts w:ascii="Times New Roman" w:hAnsi="Times New Roman" w:cs="Times New Roman"/>
                <w:sz w:val="24"/>
                <w:szCs w:val="24"/>
              </w:rPr>
              <w:t>Brak części wspólnych</w:t>
            </w:r>
          </w:p>
        </w:tc>
      </w:tr>
      <w:tr w:rsidR="00791923" w14:paraId="6A0632B5" w14:textId="77777777" w:rsidTr="00D90E79">
        <w:trPr>
          <w:trHeight w:val="418"/>
        </w:trPr>
        <w:tc>
          <w:tcPr>
            <w:tcW w:w="3020" w:type="dxa"/>
            <w:vMerge/>
          </w:tcPr>
          <w:p w14:paraId="7668A524" w14:textId="77777777" w:rsidR="00791923" w:rsidRPr="00C117B2" w:rsidRDefault="00791923" w:rsidP="00C117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7945130" w14:textId="367E3278" w:rsidR="00791923" w:rsidRPr="00791923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23">
              <w:rPr>
                <w:rFonts w:ascii="Times New Roman" w:hAnsi="Times New Roman" w:cs="Times New Roman"/>
                <w:sz w:val="24"/>
                <w:szCs w:val="24"/>
              </w:rPr>
              <w:t xml:space="preserve">Liczba lokali w budynku </w:t>
            </w:r>
          </w:p>
        </w:tc>
        <w:tc>
          <w:tcPr>
            <w:tcW w:w="3021" w:type="dxa"/>
            <w:vAlign w:val="center"/>
          </w:tcPr>
          <w:p w14:paraId="7FFB62B2" w14:textId="6A44E13B" w:rsidR="00791923" w:rsidRPr="00791923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jednorodzinny</w:t>
            </w:r>
          </w:p>
        </w:tc>
      </w:tr>
      <w:tr w:rsidR="00791923" w14:paraId="446EEA8D" w14:textId="77777777" w:rsidTr="00D90E79">
        <w:trPr>
          <w:trHeight w:val="835"/>
        </w:trPr>
        <w:tc>
          <w:tcPr>
            <w:tcW w:w="3020" w:type="dxa"/>
            <w:vMerge/>
          </w:tcPr>
          <w:p w14:paraId="5C85A10D" w14:textId="77777777" w:rsidR="00791923" w:rsidRPr="00C117B2" w:rsidRDefault="00791923" w:rsidP="00C117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D8050AF" w14:textId="19AA44E5" w:rsidR="00791923" w:rsidRPr="00791923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23">
              <w:rPr>
                <w:rFonts w:ascii="Times New Roman" w:hAnsi="Times New Roman" w:cs="Times New Roman"/>
                <w:sz w:val="24"/>
                <w:szCs w:val="24"/>
              </w:rPr>
              <w:t>Liczba miejsc garażowych i postojowych</w:t>
            </w:r>
          </w:p>
        </w:tc>
        <w:tc>
          <w:tcPr>
            <w:tcW w:w="3021" w:type="dxa"/>
            <w:vAlign w:val="center"/>
          </w:tcPr>
          <w:p w14:paraId="0EA3FEB4" w14:textId="5F0CC9E2" w:rsidR="00791923" w:rsidRPr="00E4291A" w:rsidRDefault="00791923" w:rsidP="00C1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1A">
              <w:rPr>
                <w:rFonts w:ascii="Times New Roman" w:hAnsi="Times New Roman" w:cs="Times New Roman"/>
                <w:sz w:val="20"/>
                <w:szCs w:val="20"/>
              </w:rPr>
              <w:t xml:space="preserve">1 miejsce w garażu, 2 miejsca zewnętrzne </w:t>
            </w:r>
          </w:p>
        </w:tc>
      </w:tr>
      <w:tr w:rsidR="00791923" w14:paraId="342A1C1B" w14:textId="77777777" w:rsidTr="00791923">
        <w:tc>
          <w:tcPr>
            <w:tcW w:w="3020" w:type="dxa"/>
            <w:vMerge/>
          </w:tcPr>
          <w:p w14:paraId="5DA845B9" w14:textId="77777777" w:rsidR="00791923" w:rsidRPr="00C117B2" w:rsidRDefault="00791923" w:rsidP="00C117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B87A5B3" w14:textId="76CDCF35" w:rsidR="00791923" w:rsidRPr="00791923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23">
              <w:rPr>
                <w:rFonts w:ascii="Times New Roman" w:hAnsi="Times New Roman" w:cs="Times New Roman"/>
                <w:sz w:val="24"/>
                <w:szCs w:val="24"/>
              </w:rPr>
              <w:t>Dostępne media w budynku</w:t>
            </w:r>
          </w:p>
        </w:tc>
        <w:tc>
          <w:tcPr>
            <w:tcW w:w="3021" w:type="dxa"/>
          </w:tcPr>
          <w:p w14:paraId="3DEC7AA7" w14:textId="14F1ABFA" w:rsidR="00791923" w:rsidRPr="00E4291A" w:rsidRDefault="00791923" w:rsidP="00C1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1A">
              <w:rPr>
                <w:rFonts w:ascii="Times New Roman" w:hAnsi="Times New Roman" w:cs="Times New Roman"/>
                <w:sz w:val="20"/>
                <w:szCs w:val="20"/>
              </w:rPr>
              <w:t>Prąd, woda, kanalizacja sanitarna, gaz</w:t>
            </w:r>
          </w:p>
        </w:tc>
      </w:tr>
      <w:tr w:rsidR="00791923" w14:paraId="347E4D81" w14:textId="77777777" w:rsidTr="00D90E79">
        <w:tc>
          <w:tcPr>
            <w:tcW w:w="3020" w:type="dxa"/>
            <w:vMerge/>
          </w:tcPr>
          <w:p w14:paraId="4E84FD91" w14:textId="77777777" w:rsidR="00791923" w:rsidRPr="00C117B2" w:rsidRDefault="00791923" w:rsidP="00C117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F0081A2" w14:textId="6A0A20BB" w:rsidR="00791923" w:rsidRPr="00D30257" w:rsidRDefault="00791923" w:rsidP="00C1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57">
              <w:rPr>
                <w:rFonts w:ascii="Times New Roman" w:hAnsi="Times New Roman" w:cs="Times New Roman"/>
                <w:sz w:val="24"/>
                <w:szCs w:val="24"/>
              </w:rPr>
              <w:t xml:space="preserve">Dostęp do </w:t>
            </w:r>
            <w:r w:rsidR="00D30257" w:rsidRPr="00D30257">
              <w:rPr>
                <w:rFonts w:ascii="Times New Roman" w:hAnsi="Times New Roman" w:cs="Times New Roman"/>
                <w:sz w:val="24"/>
                <w:szCs w:val="24"/>
              </w:rPr>
              <w:t>drogi publicznej</w:t>
            </w:r>
          </w:p>
        </w:tc>
        <w:tc>
          <w:tcPr>
            <w:tcW w:w="3021" w:type="dxa"/>
            <w:vAlign w:val="center"/>
          </w:tcPr>
          <w:p w14:paraId="317A1B83" w14:textId="3FF570E7" w:rsidR="00791923" w:rsidRPr="00E4291A" w:rsidRDefault="00D90E79" w:rsidP="00C1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1A">
              <w:rPr>
                <w:rFonts w:ascii="Times New Roman" w:hAnsi="Times New Roman" w:cs="Times New Roman"/>
                <w:sz w:val="20"/>
                <w:szCs w:val="20"/>
              </w:rPr>
              <w:t xml:space="preserve">Inwestycja posiada dostęp do drogi gminnej – ul. </w:t>
            </w:r>
            <w:r w:rsidR="00197827">
              <w:rPr>
                <w:rFonts w:ascii="Times New Roman" w:hAnsi="Times New Roman" w:cs="Times New Roman"/>
                <w:sz w:val="20"/>
                <w:szCs w:val="20"/>
              </w:rPr>
              <w:t>Długopolska</w:t>
            </w:r>
            <w:r w:rsidRPr="00E42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0E79" w14:paraId="4E9CCCCB" w14:textId="77777777" w:rsidTr="00B8257A">
        <w:tc>
          <w:tcPr>
            <w:tcW w:w="3020" w:type="dxa"/>
          </w:tcPr>
          <w:p w14:paraId="2A2671A4" w14:textId="68AF4F6F" w:rsidR="00D90E79" w:rsidRPr="00D90E79" w:rsidRDefault="00D90E79" w:rsidP="00D90E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E79">
              <w:rPr>
                <w:rFonts w:ascii="Times New Roman" w:hAnsi="Times New Roman" w:cs="Times New Roman"/>
                <w:sz w:val="20"/>
                <w:szCs w:val="20"/>
              </w:rPr>
              <w:t>Określenie usytuowania lokalu mieszkalnego w budynku i układu pomieszczeń</w:t>
            </w:r>
          </w:p>
        </w:tc>
        <w:tc>
          <w:tcPr>
            <w:tcW w:w="6042" w:type="dxa"/>
            <w:gridSpan w:val="2"/>
            <w:vAlign w:val="center"/>
          </w:tcPr>
          <w:p w14:paraId="4E9BEB40" w14:textId="6C84DA40" w:rsidR="00D90E79" w:rsidRPr="00D90E79" w:rsidRDefault="00D90E79" w:rsidP="00D90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1</w:t>
            </w:r>
          </w:p>
        </w:tc>
      </w:tr>
    </w:tbl>
    <w:p w14:paraId="7E4A4A32" w14:textId="77777777" w:rsidR="00C117B2" w:rsidRPr="00C117B2" w:rsidRDefault="00C117B2" w:rsidP="00CD06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9DD46A" w14:textId="73D50AC6" w:rsidR="00462292" w:rsidRPr="00E4291A" w:rsidRDefault="00E4291A" w:rsidP="00E4291A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1A">
        <w:rPr>
          <w:rFonts w:ascii="Times New Roman" w:hAnsi="Times New Roman" w:cs="Times New Roman"/>
          <w:sz w:val="24"/>
          <w:szCs w:val="24"/>
        </w:rPr>
        <w:t>Podpis Dewelopera oraz pieczęć firmowa</w:t>
      </w:r>
    </w:p>
    <w:p w14:paraId="35462DB5" w14:textId="77777777" w:rsidR="00E4291A" w:rsidRPr="00E4291A" w:rsidRDefault="00E4291A" w:rsidP="00257D1C">
      <w:pPr>
        <w:rPr>
          <w:rFonts w:ascii="Times New Roman" w:hAnsi="Times New Roman" w:cs="Times New Roman"/>
          <w:sz w:val="24"/>
          <w:szCs w:val="24"/>
        </w:rPr>
      </w:pPr>
    </w:p>
    <w:p w14:paraId="1BBB1C5F" w14:textId="1128EA58" w:rsidR="00E4291A" w:rsidRDefault="00E4291A" w:rsidP="00E4291A">
      <w:pPr>
        <w:jc w:val="right"/>
        <w:rPr>
          <w:rFonts w:ascii="Times New Roman" w:hAnsi="Times New Roman" w:cs="Times New Roman"/>
          <w:sz w:val="24"/>
          <w:szCs w:val="24"/>
        </w:rPr>
      </w:pPr>
      <w:r w:rsidRPr="00E4291A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4052E819" w14:textId="72442F04" w:rsidR="00E4291A" w:rsidRPr="00257D1C" w:rsidRDefault="00E4291A" w:rsidP="00257D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7D1C">
        <w:rPr>
          <w:rFonts w:ascii="Times New Roman" w:hAnsi="Times New Roman" w:cs="Times New Roman"/>
          <w:sz w:val="20"/>
          <w:szCs w:val="20"/>
        </w:rPr>
        <w:t>Załączniki</w:t>
      </w:r>
    </w:p>
    <w:p w14:paraId="1BBF9DC0" w14:textId="5BFE5D99" w:rsidR="00257D1C" w:rsidRDefault="00E4291A" w:rsidP="00846C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7D1C">
        <w:rPr>
          <w:rFonts w:ascii="Times New Roman" w:hAnsi="Times New Roman" w:cs="Times New Roman"/>
          <w:sz w:val="20"/>
          <w:szCs w:val="20"/>
        </w:rPr>
        <w:t>Nr 1. Rzuty domu jednorodzinnego z rozkładem pomieszczeń i usytuowania w budynku</w:t>
      </w:r>
      <w:r w:rsidR="00257D1C" w:rsidRPr="00257D1C">
        <w:rPr>
          <w:rFonts w:ascii="Times New Roman" w:hAnsi="Times New Roman" w:cs="Times New Roman"/>
          <w:sz w:val="20"/>
          <w:szCs w:val="20"/>
        </w:rPr>
        <w:br/>
      </w:r>
      <w:r w:rsidRPr="00257D1C">
        <w:rPr>
          <w:rFonts w:ascii="Times New Roman" w:hAnsi="Times New Roman" w:cs="Times New Roman"/>
          <w:sz w:val="20"/>
          <w:szCs w:val="20"/>
        </w:rPr>
        <w:t>Nr 2. Technologia wykonania domu jednorodzinnego</w:t>
      </w:r>
      <w:r w:rsidR="00257D1C" w:rsidRPr="00257D1C">
        <w:rPr>
          <w:rFonts w:ascii="Times New Roman" w:hAnsi="Times New Roman" w:cs="Times New Roman"/>
          <w:sz w:val="20"/>
          <w:szCs w:val="20"/>
        </w:rPr>
        <w:br/>
        <w:t xml:space="preserve">Nr </w:t>
      </w:r>
      <w:r w:rsidR="001907BE">
        <w:rPr>
          <w:rFonts w:ascii="Times New Roman" w:hAnsi="Times New Roman" w:cs="Times New Roman"/>
          <w:sz w:val="20"/>
          <w:szCs w:val="20"/>
        </w:rPr>
        <w:t>3</w:t>
      </w:r>
      <w:r w:rsidR="00257D1C" w:rsidRPr="00257D1C">
        <w:rPr>
          <w:rFonts w:ascii="Times New Roman" w:hAnsi="Times New Roman" w:cs="Times New Roman"/>
          <w:sz w:val="20"/>
          <w:szCs w:val="20"/>
        </w:rPr>
        <w:t>. Szkic koncepcji zagospodarowania terenu inwestycji i jego otoczenia z zaznaczeniem budynku oraz</w:t>
      </w:r>
      <w:r w:rsidR="00257D1C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257D1C" w:rsidRPr="00257D1C">
        <w:rPr>
          <w:rFonts w:ascii="Times New Roman" w:hAnsi="Times New Roman" w:cs="Times New Roman"/>
          <w:sz w:val="20"/>
          <w:szCs w:val="20"/>
        </w:rPr>
        <w:t xml:space="preserve">istotnych uwarunkowań lokalizacji inwestycji wynikających z istniejącego stanu użytkowania terenów </w:t>
      </w:r>
      <w:r w:rsidR="00257D1C">
        <w:rPr>
          <w:rFonts w:ascii="Times New Roman" w:hAnsi="Times New Roman" w:cs="Times New Roman"/>
          <w:sz w:val="20"/>
          <w:szCs w:val="20"/>
        </w:rPr>
        <w:t xml:space="preserve">     </w:t>
      </w:r>
      <w:r w:rsidR="00257D1C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257D1C" w:rsidRPr="00257D1C">
        <w:rPr>
          <w:rFonts w:ascii="Times New Roman" w:hAnsi="Times New Roman" w:cs="Times New Roman"/>
          <w:sz w:val="20"/>
          <w:szCs w:val="20"/>
        </w:rPr>
        <w:t>sąsiednich</w:t>
      </w:r>
      <w:r w:rsidR="00257D1C" w:rsidRPr="00257D1C">
        <w:rPr>
          <w:rFonts w:ascii="Times New Roman" w:hAnsi="Times New Roman" w:cs="Times New Roman"/>
          <w:sz w:val="20"/>
          <w:szCs w:val="20"/>
        </w:rPr>
        <w:br/>
        <w:t xml:space="preserve">Nr </w:t>
      </w:r>
      <w:r w:rsidR="001907BE">
        <w:rPr>
          <w:rFonts w:ascii="Times New Roman" w:hAnsi="Times New Roman" w:cs="Times New Roman"/>
          <w:sz w:val="20"/>
          <w:szCs w:val="20"/>
        </w:rPr>
        <w:t>4</w:t>
      </w:r>
      <w:r w:rsidR="00257D1C" w:rsidRPr="00257D1C">
        <w:rPr>
          <w:rFonts w:ascii="Times New Roman" w:hAnsi="Times New Roman" w:cs="Times New Roman"/>
          <w:sz w:val="20"/>
          <w:szCs w:val="20"/>
        </w:rPr>
        <w:t>. Wzór umowy deweloperskiej</w:t>
      </w:r>
      <w:r w:rsidR="00257D1C" w:rsidRPr="00257D1C">
        <w:rPr>
          <w:rFonts w:ascii="Times New Roman" w:hAnsi="Times New Roman" w:cs="Times New Roman"/>
          <w:sz w:val="20"/>
          <w:szCs w:val="20"/>
        </w:rPr>
        <w:br/>
        <w:t xml:space="preserve">Nr </w:t>
      </w:r>
      <w:r w:rsidR="001907BE">
        <w:rPr>
          <w:rFonts w:ascii="Times New Roman" w:hAnsi="Times New Roman" w:cs="Times New Roman"/>
          <w:sz w:val="20"/>
          <w:szCs w:val="20"/>
        </w:rPr>
        <w:t>5</w:t>
      </w:r>
      <w:r w:rsidR="00257D1C" w:rsidRPr="00257D1C">
        <w:rPr>
          <w:rFonts w:ascii="Times New Roman" w:hAnsi="Times New Roman" w:cs="Times New Roman"/>
          <w:sz w:val="20"/>
          <w:szCs w:val="20"/>
        </w:rPr>
        <w:t>. Harmonogram inwestycji</w:t>
      </w:r>
    </w:p>
    <w:p w14:paraId="39FBDD29" w14:textId="77777777" w:rsidR="000E491A" w:rsidRDefault="000E491A" w:rsidP="00846C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495E2A" w14:textId="77777777" w:rsidR="000E491A" w:rsidRPr="00DF5219" w:rsidRDefault="000E491A" w:rsidP="000E491A">
      <w:pPr>
        <w:ind w:left="5664" w:firstLine="708"/>
        <w:jc w:val="right"/>
        <w:rPr>
          <w:rFonts w:ascii="Times New Roman" w:hAnsi="Times New Roman" w:cs="Times New Roman"/>
        </w:rPr>
      </w:pPr>
      <w:r w:rsidRPr="0063212A">
        <w:rPr>
          <w:rFonts w:ascii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 wp14:anchorId="4F2F595F" wp14:editId="7DCA286A">
            <wp:simplePos x="0" y="0"/>
            <wp:positionH relativeFrom="column">
              <wp:posOffset>22225</wp:posOffset>
            </wp:positionH>
            <wp:positionV relativeFrom="paragraph">
              <wp:posOffset>-154940</wp:posOffset>
            </wp:positionV>
            <wp:extent cx="1578634" cy="451992"/>
            <wp:effectExtent l="0" t="0" r="2540" b="5715"/>
            <wp:wrapNone/>
            <wp:docPr id="2" name="Obraz 2" descr="Obraz zawierający tekst, Czcionka, Grafika, Jaskrawoniebieski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Grafika, Jaskrawoniebieski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34" cy="451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12A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212A">
        <w:rPr>
          <w:rFonts w:ascii="Times New Roman" w:hAnsi="Times New Roman" w:cs="Times New Roman"/>
        </w:rPr>
        <w:t xml:space="preserve">  </w:t>
      </w:r>
      <w:r w:rsidRPr="0063212A">
        <w:rPr>
          <w:rFonts w:ascii="Times New Roman" w:hAnsi="Times New Roman" w:cs="Times New Roman"/>
        </w:rPr>
        <w:br/>
      </w:r>
      <w:r w:rsidRPr="0063212A">
        <w:rPr>
          <w:rFonts w:ascii="Times New Roman" w:hAnsi="Times New Roman" w:cs="Times New Roman"/>
          <w:sz w:val="20"/>
          <w:szCs w:val="20"/>
        </w:rPr>
        <w:t>DO PROSPEKTU INFORMACYJNEGO</w:t>
      </w:r>
      <w:r w:rsidRPr="0063212A">
        <w:rPr>
          <w:rFonts w:ascii="Times New Roman" w:hAnsi="Times New Roman" w:cs="Times New Roman"/>
        </w:rPr>
        <w:t xml:space="preserve"> </w:t>
      </w:r>
    </w:p>
    <w:p w14:paraId="30AE1BD2" w14:textId="77777777" w:rsidR="000E491A" w:rsidRPr="0063212A" w:rsidRDefault="000E491A" w:rsidP="000E491A">
      <w:pPr>
        <w:rPr>
          <w:rFonts w:ascii="Times New Roman" w:hAnsi="Times New Roman" w:cs="Times New Roman"/>
        </w:rPr>
      </w:pP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</w:p>
    <w:p w14:paraId="226E185C" w14:textId="77777777" w:rsidR="000E491A" w:rsidRPr="00B70845" w:rsidRDefault="000E491A" w:rsidP="000E49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TECHNOLOGIA WYKONANIA BUDYNKU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B70845">
        <w:rPr>
          <w:rFonts w:ascii="Times New Roman" w:hAnsi="Times New Roman" w:cs="Times New Roman"/>
          <w:b/>
          <w:sz w:val="24"/>
          <w:szCs w:val="24"/>
        </w:rPr>
        <w:t>/STANDARD WYKOŃCZENIA/</w:t>
      </w:r>
    </w:p>
    <w:p w14:paraId="74A941C8" w14:textId="77777777" w:rsidR="000E491A" w:rsidRPr="0063212A" w:rsidRDefault="000E491A" w:rsidP="000E4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12A">
        <w:rPr>
          <w:rFonts w:ascii="Times New Roman" w:hAnsi="Times New Roman" w:cs="Times New Roman"/>
          <w:b/>
          <w:bCs/>
          <w:sz w:val="24"/>
          <w:szCs w:val="24"/>
        </w:rPr>
        <w:t xml:space="preserve">DOMY JEDNORODZINNE W ZABUDOWIE </w:t>
      </w:r>
      <w:r>
        <w:rPr>
          <w:rFonts w:ascii="Times New Roman" w:hAnsi="Times New Roman" w:cs="Times New Roman"/>
          <w:b/>
          <w:bCs/>
          <w:sz w:val="24"/>
          <w:szCs w:val="24"/>
        </w:rPr>
        <w:t>BLIŹNIACZEJ</w:t>
      </w:r>
      <w:r w:rsidRPr="00632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13, 14, 15, 16, 17, 18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0E491A" w14:paraId="67A608CD" w14:textId="77777777" w:rsidTr="00287CFD">
        <w:trPr>
          <w:trHeight w:val="501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C4D96FC" w14:textId="77777777" w:rsidR="000E491A" w:rsidRPr="00B70845" w:rsidRDefault="000E491A" w:rsidP="00287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Technologia wykonania</w:t>
            </w:r>
          </w:p>
        </w:tc>
      </w:tr>
      <w:tr w:rsidR="000E491A" w14:paraId="267C6A40" w14:textId="77777777" w:rsidTr="00287CFD">
        <w:trPr>
          <w:trHeight w:val="491"/>
          <w:jc w:val="center"/>
        </w:trPr>
        <w:tc>
          <w:tcPr>
            <w:tcW w:w="2405" w:type="dxa"/>
            <w:vAlign w:val="center"/>
          </w:tcPr>
          <w:p w14:paraId="67AC96B5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Fundamenty</w:t>
            </w:r>
          </w:p>
        </w:tc>
        <w:tc>
          <w:tcPr>
            <w:tcW w:w="6657" w:type="dxa"/>
            <w:vAlign w:val="center"/>
          </w:tcPr>
          <w:p w14:paraId="631E8FB8" w14:textId="77777777" w:rsidR="000E491A" w:rsidRPr="002F698F" w:rsidRDefault="000E491A" w:rsidP="00287CF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Żelbetowe </w:t>
            </w:r>
          </w:p>
        </w:tc>
      </w:tr>
      <w:tr w:rsidR="000E491A" w14:paraId="725474AB" w14:textId="77777777" w:rsidTr="00287CFD">
        <w:trPr>
          <w:jc w:val="center"/>
        </w:trPr>
        <w:tc>
          <w:tcPr>
            <w:tcW w:w="2405" w:type="dxa"/>
            <w:vAlign w:val="center"/>
          </w:tcPr>
          <w:p w14:paraId="0E04DC04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Ściany zewnętrzne parteru i poddasza</w:t>
            </w:r>
          </w:p>
        </w:tc>
        <w:tc>
          <w:tcPr>
            <w:tcW w:w="6657" w:type="dxa"/>
            <w:vAlign w:val="center"/>
          </w:tcPr>
          <w:p w14:paraId="6B7932DB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 xml:space="preserve">Pustak ceramiczny gr.  25cm </w:t>
            </w:r>
          </w:p>
          <w:p w14:paraId="23A0FE9C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 xml:space="preserve">Docieplenie budynku styropian gr. 20cm </w:t>
            </w:r>
          </w:p>
        </w:tc>
      </w:tr>
      <w:tr w:rsidR="000E491A" w14:paraId="2FBE6CA3" w14:textId="77777777" w:rsidTr="00287CFD">
        <w:trPr>
          <w:jc w:val="center"/>
        </w:trPr>
        <w:tc>
          <w:tcPr>
            <w:tcW w:w="2405" w:type="dxa"/>
            <w:vAlign w:val="center"/>
          </w:tcPr>
          <w:p w14:paraId="2D0CC7B2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Ściany wewnętrzne, posadzka</w:t>
            </w:r>
          </w:p>
        </w:tc>
        <w:tc>
          <w:tcPr>
            <w:tcW w:w="6657" w:type="dxa"/>
            <w:vAlign w:val="center"/>
          </w:tcPr>
          <w:p w14:paraId="5E55D001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>Konstrukcyjne: pustak/bloczek gr. 19/25cm</w:t>
            </w:r>
          </w:p>
          <w:p w14:paraId="1D199620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>Działowe, pustak/bloczek gr. 11,5 cm</w:t>
            </w:r>
            <w:r>
              <w:rPr>
                <w:rFonts w:ascii="Calibri" w:hAnsi="Calibri"/>
              </w:rPr>
              <w:t>/12 cm</w:t>
            </w:r>
          </w:p>
          <w:p w14:paraId="79A10258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>Tynki wewnętrzne /gipsowe i cementowo - wapienne w łazienkach/</w:t>
            </w:r>
          </w:p>
          <w:p w14:paraId="30E3D711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>Wylewki cementowe maszynowe</w:t>
            </w:r>
          </w:p>
        </w:tc>
      </w:tr>
      <w:tr w:rsidR="000E491A" w14:paraId="1EE7A987" w14:textId="77777777" w:rsidTr="00287CFD">
        <w:trPr>
          <w:jc w:val="center"/>
        </w:trPr>
        <w:tc>
          <w:tcPr>
            <w:tcW w:w="2405" w:type="dxa"/>
            <w:vAlign w:val="center"/>
          </w:tcPr>
          <w:p w14:paraId="375A6B4D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Kominy</w:t>
            </w:r>
          </w:p>
        </w:tc>
        <w:tc>
          <w:tcPr>
            <w:tcW w:w="6657" w:type="dxa"/>
            <w:vAlign w:val="center"/>
          </w:tcPr>
          <w:p w14:paraId="22D34AC2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 xml:space="preserve">Przewód kominowy do pieca C.O. , Przewody wentylacyjne </w:t>
            </w:r>
          </w:p>
        </w:tc>
      </w:tr>
      <w:tr w:rsidR="000E491A" w14:paraId="25651EEF" w14:textId="77777777" w:rsidTr="00287CFD">
        <w:trPr>
          <w:jc w:val="center"/>
        </w:trPr>
        <w:tc>
          <w:tcPr>
            <w:tcW w:w="2405" w:type="dxa"/>
            <w:vAlign w:val="center"/>
          </w:tcPr>
          <w:p w14:paraId="385F6A99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Stropy</w:t>
            </w:r>
          </w:p>
        </w:tc>
        <w:tc>
          <w:tcPr>
            <w:tcW w:w="6657" w:type="dxa"/>
            <w:vAlign w:val="center"/>
          </w:tcPr>
          <w:p w14:paraId="3F893F28" w14:textId="77777777" w:rsidR="000E491A" w:rsidRPr="002F698F" w:rsidRDefault="000E491A" w:rsidP="00287CFD">
            <w:pPr>
              <w:spacing w:line="259" w:lineRule="auto"/>
              <w:jc w:val="both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 xml:space="preserve">Nad parterem – płyta żelbetowa  </w:t>
            </w:r>
          </w:p>
          <w:p w14:paraId="0F48B7A1" w14:textId="77777777" w:rsidR="000E491A" w:rsidRDefault="000E491A" w:rsidP="00287CFD">
            <w:pPr>
              <w:jc w:val="both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 xml:space="preserve">Nad poddaszem – strop drewniany obudowany płytami g-k F gr. 12,5mm na ruszcie metalowym ocieplony wełną mineralną </w:t>
            </w:r>
          </w:p>
          <w:p w14:paraId="73B943A6" w14:textId="77777777" w:rsidR="000E491A" w:rsidRPr="002F698F" w:rsidRDefault="000E491A" w:rsidP="00287CFD">
            <w:pPr>
              <w:jc w:val="both"/>
              <w:rPr>
                <w:rFonts w:ascii="Times New Roman" w:hAnsi="Times New Roman" w:cs="Times New Roman"/>
              </w:rPr>
            </w:pPr>
            <w:r w:rsidRPr="002F698F">
              <w:rPr>
                <w:rFonts w:ascii="Calibri" w:hAnsi="Calibri"/>
              </w:rPr>
              <w:t>gr. 15 cm.  Docieplenie dachu wełną mineralną – gr 15 cm + 10 cm</w:t>
            </w:r>
          </w:p>
        </w:tc>
      </w:tr>
      <w:tr w:rsidR="000E491A" w14:paraId="312A8886" w14:textId="77777777" w:rsidTr="00287CFD">
        <w:trPr>
          <w:jc w:val="center"/>
        </w:trPr>
        <w:tc>
          <w:tcPr>
            <w:tcW w:w="2405" w:type="dxa"/>
            <w:vAlign w:val="center"/>
          </w:tcPr>
          <w:p w14:paraId="33607265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6657" w:type="dxa"/>
            <w:vAlign w:val="center"/>
          </w:tcPr>
          <w:p w14:paraId="16114FAE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>Zabiegowe,  żelbetowe</w:t>
            </w:r>
          </w:p>
        </w:tc>
      </w:tr>
      <w:tr w:rsidR="000E491A" w14:paraId="095E0A73" w14:textId="77777777" w:rsidTr="00287CFD">
        <w:trPr>
          <w:jc w:val="center"/>
        </w:trPr>
        <w:tc>
          <w:tcPr>
            <w:tcW w:w="2405" w:type="dxa"/>
            <w:vAlign w:val="center"/>
          </w:tcPr>
          <w:p w14:paraId="47C44D01" w14:textId="77777777" w:rsidR="000E491A" w:rsidRPr="002F698F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 w:rsidRPr="002F698F">
              <w:rPr>
                <w:rFonts w:ascii="Times New Roman" w:hAnsi="Times New Roman" w:cs="Times New Roman"/>
              </w:rPr>
              <w:t>Dach</w:t>
            </w:r>
          </w:p>
        </w:tc>
        <w:tc>
          <w:tcPr>
            <w:tcW w:w="6657" w:type="dxa"/>
            <w:vAlign w:val="center"/>
          </w:tcPr>
          <w:p w14:paraId="50CAEE69" w14:textId="77777777" w:rsidR="000E491A" w:rsidRPr="002F698F" w:rsidRDefault="000E491A" w:rsidP="00287CFD">
            <w:pPr>
              <w:spacing w:line="259" w:lineRule="auto"/>
              <w:rPr>
                <w:rFonts w:ascii="Calibri" w:hAnsi="Calibri"/>
              </w:rPr>
            </w:pPr>
            <w:r w:rsidRPr="002F698F">
              <w:rPr>
                <w:rFonts w:ascii="Calibri" w:hAnsi="Calibri"/>
              </w:rPr>
              <w:t xml:space="preserve">Dwuspadowy, konstrukcja drewniana, krycie dachówka płaska. </w:t>
            </w:r>
          </w:p>
          <w:p w14:paraId="14292430" w14:textId="77777777" w:rsidR="000E491A" w:rsidRPr="002F698F" w:rsidRDefault="000E491A" w:rsidP="00287CFD">
            <w:pPr>
              <w:rPr>
                <w:rFonts w:ascii="Times New Roman" w:hAnsi="Times New Roman" w:cs="Times New Roman"/>
              </w:rPr>
            </w:pPr>
            <w:r w:rsidRPr="002F698F">
              <w:rPr>
                <w:rFonts w:ascii="Calibri" w:hAnsi="Calibri"/>
              </w:rPr>
              <w:t>Izolacja termiczna połaci dachowej wełną mineralną  gr. 15 cm + folia</w:t>
            </w:r>
          </w:p>
        </w:tc>
      </w:tr>
      <w:tr w:rsidR="000E491A" w14:paraId="26548904" w14:textId="77777777" w:rsidTr="00287CF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7C39C6A" w14:textId="77777777" w:rsidR="000E491A" w:rsidRPr="002F698F" w:rsidRDefault="000E491A" w:rsidP="00287CF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wykończenia</w:t>
            </w:r>
          </w:p>
        </w:tc>
      </w:tr>
      <w:tr w:rsidR="000E491A" w14:paraId="52024CA7" w14:textId="77777777" w:rsidTr="00287CFD">
        <w:trPr>
          <w:jc w:val="center"/>
        </w:trPr>
        <w:tc>
          <w:tcPr>
            <w:tcW w:w="9062" w:type="dxa"/>
            <w:gridSpan w:val="2"/>
            <w:vAlign w:val="center"/>
          </w:tcPr>
          <w:p w14:paraId="141937B2" w14:textId="77777777" w:rsidR="000E491A" w:rsidRDefault="000E491A" w:rsidP="00287CF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67A67F4" w14:textId="77777777" w:rsidR="000E491A" w:rsidRPr="00386326" w:rsidRDefault="000E491A" w:rsidP="00287CFD">
            <w:pPr>
              <w:spacing w:line="276" w:lineRule="auto"/>
              <w:rPr>
                <w:rFonts w:cstheme="minorHAnsi"/>
                <w:color w:val="00B050"/>
              </w:rPr>
            </w:pPr>
            <w:r w:rsidRPr="00386326">
              <w:rPr>
                <w:rFonts w:cstheme="minorHAnsi"/>
              </w:rPr>
              <w:t>1. Instalacja elektryczna bez osprzętu</w:t>
            </w:r>
          </w:p>
          <w:p w14:paraId="40F2CFA3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>2. Instalacja wodna z gminnej sieci wodociągowej bez białego montażu</w:t>
            </w:r>
          </w:p>
          <w:p w14:paraId="3E146B71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>3. Instalacja kanalizacyjna z odprowadzeniem do gminnej sieci kanalizacyjnej.</w:t>
            </w:r>
          </w:p>
          <w:p w14:paraId="306AB5FA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 xml:space="preserve">4. </w:t>
            </w:r>
            <w:proofErr w:type="spellStart"/>
            <w:r w:rsidRPr="00386326">
              <w:rPr>
                <w:rFonts w:cstheme="minorHAnsi"/>
              </w:rPr>
              <w:t>Instalacaj</w:t>
            </w:r>
            <w:proofErr w:type="spellEnd"/>
            <w:r w:rsidRPr="00386326">
              <w:rPr>
                <w:rFonts w:cstheme="minorHAnsi"/>
              </w:rPr>
              <w:t xml:space="preserve"> </w:t>
            </w:r>
            <w:proofErr w:type="spellStart"/>
            <w:r w:rsidRPr="00386326">
              <w:rPr>
                <w:rFonts w:cstheme="minorHAnsi"/>
              </w:rPr>
              <w:t>gazowa-przyłącze</w:t>
            </w:r>
            <w:proofErr w:type="spellEnd"/>
            <w:r w:rsidRPr="00386326">
              <w:rPr>
                <w:rFonts w:cstheme="minorHAnsi"/>
              </w:rPr>
              <w:t xml:space="preserve"> gazowe do pieca c.o.</w:t>
            </w:r>
            <w:r>
              <w:rPr>
                <w:rFonts w:cstheme="minorHAnsi"/>
              </w:rPr>
              <w:t xml:space="preserve"> /Alternatywnie pompa ciepła/</w:t>
            </w:r>
          </w:p>
          <w:p w14:paraId="08D40F31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 xml:space="preserve">5. Instalacja c.o. – wszystkie pomieszczenia ogrzewanie podłogowe. Kocioł gazowy + zasobnik </w:t>
            </w:r>
          </w:p>
          <w:p w14:paraId="4A577655" w14:textId="77777777" w:rsidR="000E491A" w:rsidRDefault="000E491A" w:rsidP="00287CFD">
            <w:pPr>
              <w:spacing w:line="276" w:lineRule="auto"/>
              <w:rPr>
                <w:rFonts w:cstheme="minorHAnsi"/>
                <w:b/>
                <w:bCs/>
              </w:rPr>
            </w:pPr>
            <w:r w:rsidRPr="00386326">
              <w:rPr>
                <w:rFonts w:cstheme="minorHAnsi"/>
              </w:rPr>
              <w:t xml:space="preserve">6. Instalacja fotowoltaiczna </w:t>
            </w:r>
            <w:r>
              <w:rPr>
                <w:rFonts w:cstheme="minorHAnsi"/>
              </w:rPr>
              <w:t>/w przypadku montażu pompy ciepła instalacja fotowoltaiczna nie jest      montowana/.</w:t>
            </w:r>
          </w:p>
          <w:p w14:paraId="1863892D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>7. Okablowanie instalacji alarmowej, internetowej wewnątrz budynku.</w:t>
            </w:r>
          </w:p>
          <w:p w14:paraId="3D924536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 xml:space="preserve">10. Drzwi zewnętrzne do domu drewniane, kolor </w:t>
            </w:r>
            <w:r>
              <w:rPr>
                <w:rFonts w:cstheme="minorHAnsi"/>
              </w:rPr>
              <w:t>złoty dąb</w:t>
            </w:r>
            <w:r w:rsidRPr="00386326">
              <w:rPr>
                <w:rFonts w:cstheme="minorHAnsi"/>
              </w:rPr>
              <w:t>, wkładka do drzwi klasy „C”</w:t>
            </w:r>
          </w:p>
          <w:p w14:paraId="2F75F57F" w14:textId="77777777" w:rsidR="000E491A" w:rsidRPr="00386326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>11. Brama garażowa PCV w okleinie drewnopodobnej – automatyczna</w:t>
            </w:r>
          </w:p>
          <w:p w14:paraId="5B57CA8C" w14:textId="77777777" w:rsidR="000E491A" w:rsidRPr="00FE708B" w:rsidRDefault="000E491A" w:rsidP="00287CFD">
            <w:pPr>
              <w:spacing w:line="276" w:lineRule="auto"/>
              <w:rPr>
                <w:rFonts w:cstheme="minorHAnsi"/>
              </w:rPr>
            </w:pPr>
            <w:r w:rsidRPr="00386326">
              <w:rPr>
                <w:rFonts w:cstheme="minorHAnsi"/>
              </w:rPr>
              <w:t xml:space="preserve">12. Stolarka okienna PCV w dwustronnej okleinie </w:t>
            </w:r>
            <w:r>
              <w:rPr>
                <w:rFonts w:cstheme="minorHAnsi"/>
              </w:rPr>
              <w:t>drewnopodobnej</w:t>
            </w:r>
            <w:r w:rsidRPr="00386326">
              <w:rPr>
                <w:rFonts w:cstheme="minorHAnsi"/>
              </w:rPr>
              <w:t>,</w:t>
            </w:r>
          </w:p>
        </w:tc>
      </w:tr>
      <w:tr w:rsidR="000E491A" w14:paraId="6117D861" w14:textId="77777777" w:rsidTr="00287CFD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D437CCF" w14:textId="77777777" w:rsidR="000E491A" w:rsidRPr="00386326" w:rsidRDefault="000E491A" w:rsidP="00287CF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Zagospodarowanie terenu i infrastruktura techniczna</w:t>
            </w:r>
          </w:p>
        </w:tc>
      </w:tr>
      <w:tr w:rsidR="000E491A" w14:paraId="3070D18F" w14:textId="77777777" w:rsidTr="00287CFD">
        <w:trPr>
          <w:jc w:val="center"/>
        </w:trPr>
        <w:tc>
          <w:tcPr>
            <w:tcW w:w="9062" w:type="dxa"/>
            <w:gridSpan w:val="2"/>
            <w:vAlign w:val="center"/>
          </w:tcPr>
          <w:p w14:paraId="6AD4F081" w14:textId="77777777" w:rsidR="000E491A" w:rsidRDefault="000E491A" w:rsidP="00287CFD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Pr="00386326">
              <w:rPr>
                <w:rFonts w:ascii="Calibri" w:hAnsi="Calibri"/>
              </w:rPr>
              <w:t xml:space="preserve">Podjazd, podejście i miejsca postojowe z kostki betonowej </w:t>
            </w:r>
          </w:p>
          <w:p w14:paraId="061B7AF4" w14:textId="77777777" w:rsidR="000E491A" w:rsidRDefault="000E491A" w:rsidP="00287CFD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Rozplantowany</w:t>
            </w:r>
            <w:r w:rsidRPr="00386326">
              <w:rPr>
                <w:rFonts w:ascii="Calibri" w:hAnsi="Calibri"/>
              </w:rPr>
              <w:t xml:space="preserve"> teren wokół domu</w:t>
            </w:r>
          </w:p>
          <w:p w14:paraId="6748A04E" w14:textId="77777777" w:rsidR="000E491A" w:rsidRDefault="000E491A" w:rsidP="00287CFD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 w:rsidRPr="00FE708B">
              <w:rPr>
                <w:rFonts w:ascii="Calibri" w:hAnsi="Calibri"/>
              </w:rPr>
              <w:t>Ogrodzenie wewnętrzne i zewnętrzne z siatki panelowej</w:t>
            </w:r>
          </w:p>
          <w:p w14:paraId="683ABCFB" w14:textId="77777777" w:rsidR="000E491A" w:rsidRPr="00FE708B" w:rsidRDefault="000E491A" w:rsidP="00287CFD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r w:rsidRPr="00FE708B">
              <w:rPr>
                <w:rFonts w:ascii="Calibri" w:hAnsi="Calibri"/>
              </w:rPr>
              <w:t>Zbiornik na wodę opadową</w:t>
            </w:r>
          </w:p>
        </w:tc>
      </w:tr>
    </w:tbl>
    <w:p w14:paraId="732435C2" w14:textId="77777777" w:rsidR="000E491A" w:rsidRPr="0063212A" w:rsidRDefault="000E491A" w:rsidP="000E491A">
      <w:pPr>
        <w:rPr>
          <w:rFonts w:ascii="Times New Roman" w:hAnsi="Times New Roman" w:cs="Times New Roman"/>
          <w:sz w:val="28"/>
          <w:szCs w:val="28"/>
        </w:rPr>
      </w:pPr>
    </w:p>
    <w:p w14:paraId="1BAA6BA1" w14:textId="77777777" w:rsidR="000E491A" w:rsidRDefault="000E491A" w:rsidP="00846C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A55CFF" w14:textId="77777777" w:rsidR="000E491A" w:rsidRPr="0063212A" w:rsidRDefault="000E491A" w:rsidP="000E491A">
      <w:pPr>
        <w:jc w:val="right"/>
        <w:rPr>
          <w:rFonts w:ascii="Times New Roman" w:hAnsi="Times New Roman" w:cs="Times New Roman"/>
        </w:rPr>
      </w:pPr>
      <w:r w:rsidRPr="0063212A">
        <w:rPr>
          <w:rFonts w:ascii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 wp14:anchorId="4B0ACEF6" wp14:editId="12D7D9C5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578634" cy="451992"/>
            <wp:effectExtent l="0" t="0" r="2540" b="5715"/>
            <wp:wrapNone/>
            <wp:docPr id="46691479" name="Obraz 46691479" descr="Obraz zawierający tekst, Czcionka, Grafika, Jaskrawoniebieski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1479" name="Obraz 46691479" descr="Obraz zawierający tekst, Czcionka, Grafika, Jaskrawoniebieski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34" cy="451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</w:rPr>
        <w:tab/>
      </w:r>
      <w:r w:rsidRPr="0063212A">
        <w:rPr>
          <w:rFonts w:ascii="Times New Roman" w:hAnsi="Times New Roman" w:cs="Times New Roman"/>
          <w:b/>
          <w:bCs/>
          <w:sz w:val="28"/>
          <w:szCs w:val="28"/>
        </w:rPr>
        <w:t>ZAŁĄCZNIK NR 5</w:t>
      </w:r>
      <w:r w:rsidRPr="0063212A">
        <w:rPr>
          <w:rFonts w:ascii="Times New Roman" w:hAnsi="Times New Roman" w:cs="Times New Roman"/>
        </w:rPr>
        <w:t xml:space="preserve">  </w:t>
      </w:r>
      <w:r w:rsidRPr="0063212A">
        <w:rPr>
          <w:rFonts w:ascii="Times New Roman" w:hAnsi="Times New Roman" w:cs="Times New Roman"/>
        </w:rPr>
        <w:br/>
      </w:r>
      <w:r w:rsidRPr="0063212A">
        <w:rPr>
          <w:rFonts w:ascii="Times New Roman" w:hAnsi="Times New Roman" w:cs="Times New Roman"/>
          <w:sz w:val="20"/>
          <w:szCs w:val="20"/>
        </w:rPr>
        <w:t>DO PROSPEKTU INFORMACYJNEGO</w:t>
      </w:r>
      <w:r w:rsidRPr="0063212A">
        <w:rPr>
          <w:rFonts w:ascii="Times New Roman" w:hAnsi="Times New Roman" w:cs="Times New Roman"/>
        </w:rPr>
        <w:t xml:space="preserve"> </w:t>
      </w:r>
    </w:p>
    <w:p w14:paraId="40ED89BD" w14:textId="77777777" w:rsidR="000E491A" w:rsidRPr="0063212A" w:rsidRDefault="000E491A" w:rsidP="000E491A">
      <w:pPr>
        <w:rPr>
          <w:rFonts w:ascii="Times New Roman" w:hAnsi="Times New Roman" w:cs="Times New Roman"/>
        </w:rPr>
      </w:pPr>
    </w:p>
    <w:p w14:paraId="73C9EF19" w14:textId="77777777" w:rsidR="000E491A" w:rsidRPr="0063212A" w:rsidRDefault="000E491A" w:rsidP="000E4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12A">
        <w:rPr>
          <w:rFonts w:ascii="Times New Roman" w:hAnsi="Times New Roman" w:cs="Times New Roman"/>
          <w:b/>
          <w:sz w:val="32"/>
          <w:szCs w:val="32"/>
        </w:rPr>
        <w:t xml:space="preserve">HARMONOGRAM </w:t>
      </w:r>
      <w:r>
        <w:rPr>
          <w:rFonts w:ascii="Times New Roman" w:hAnsi="Times New Roman" w:cs="Times New Roman"/>
          <w:b/>
          <w:sz w:val="32"/>
          <w:szCs w:val="32"/>
        </w:rPr>
        <w:t xml:space="preserve">PRZEDSIĘWZIĘCIA DEWELOPERSKIEGO / </w:t>
      </w:r>
      <w:r w:rsidRPr="0063212A">
        <w:rPr>
          <w:rFonts w:ascii="Times New Roman" w:hAnsi="Times New Roman" w:cs="Times New Roman"/>
          <w:b/>
          <w:sz w:val="32"/>
          <w:szCs w:val="32"/>
        </w:rPr>
        <w:t xml:space="preserve">PŁATNOŚCI DLA </w:t>
      </w:r>
      <w:r w:rsidRPr="0063212A">
        <w:rPr>
          <w:rFonts w:ascii="Times New Roman" w:hAnsi="Times New Roman" w:cs="Times New Roman"/>
          <w:b/>
          <w:bCs/>
          <w:sz w:val="32"/>
          <w:szCs w:val="32"/>
        </w:rPr>
        <w:t>PROJEKTU DEWELOPERSKIEGO</w:t>
      </w:r>
      <w:r w:rsidRPr="0063212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4E69150" w14:textId="77777777" w:rsidR="000E491A" w:rsidRPr="0063212A" w:rsidRDefault="000E491A" w:rsidP="000E4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12A">
        <w:rPr>
          <w:rFonts w:ascii="Times New Roman" w:hAnsi="Times New Roman" w:cs="Times New Roman"/>
          <w:b/>
          <w:bCs/>
          <w:sz w:val="24"/>
          <w:szCs w:val="24"/>
        </w:rPr>
        <w:t xml:space="preserve">DOMY JEDNORODZINNE W ZABUDOWIE </w:t>
      </w:r>
      <w:r>
        <w:rPr>
          <w:rFonts w:ascii="Times New Roman" w:hAnsi="Times New Roman" w:cs="Times New Roman"/>
          <w:b/>
          <w:bCs/>
          <w:sz w:val="24"/>
          <w:szCs w:val="24"/>
        </w:rPr>
        <w:t>BLIŹNIACZEJ OD 13 DO 18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ZIELONKI ul. Długopolska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9"/>
        <w:gridCol w:w="1701"/>
        <w:gridCol w:w="1836"/>
      </w:tblGrid>
      <w:tr w:rsidR="000E491A" w:rsidRPr="0063212A" w14:paraId="30ED5302" w14:textId="77777777" w:rsidTr="00287CFD">
        <w:trPr>
          <w:jc w:val="center"/>
        </w:trPr>
        <w:tc>
          <w:tcPr>
            <w:tcW w:w="846" w:type="dxa"/>
            <w:vAlign w:val="center"/>
          </w:tcPr>
          <w:p w14:paraId="3C616E06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2A">
              <w:rPr>
                <w:rFonts w:ascii="Times New Roman" w:hAnsi="Times New Roman" w:cs="Times New Roman"/>
                <w:b/>
                <w:sz w:val="20"/>
                <w:szCs w:val="20"/>
              </w:rPr>
              <w:t>Nr etapu</w:t>
            </w:r>
          </w:p>
        </w:tc>
        <w:tc>
          <w:tcPr>
            <w:tcW w:w="3549" w:type="dxa"/>
            <w:vAlign w:val="center"/>
          </w:tcPr>
          <w:p w14:paraId="00C6AC5B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2A">
              <w:rPr>
                <w:rFonts w:ascii="Times New Roman" w:hAnsi="Times New Roman" w:cs="Times New Roman"/>
                <w:b/>
                <w:sz w:val="20"/>
                <w:szCs w:val="20"/>
              </w:rPr>
              <w:t>Opis etapu</w:t>
            </w:r>
          </w:p>
        </w:tc>
        <w:tc>
          <w:tcPr>
            <w:tcW w:w="1701" w:type="dxa"/>
            <w:vAlign w:val="center"/>
          </w:tcPr>
          <w:p w14:paraId="60CEE02B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2A">
              <w:rPr>
                <w:rFonts w:ascii="Times New Roman" w:hAnsi="Times New Roman" w:cs="Times New Roman"/>
                <w:b/>
                <w:sz w:val="20"/>
                <w:szCs w:val="20"/>
              </w:rPr>
              <w:t>Planowana data realizacji</w:t>
            </w:r>
          </w:p>
        </w:tc>
        <w:tc>
          <w:tcPr>
            <w:tcW w:w="1836" w:type="dxa"/>
            <w:vAlign w:val="center"/>
          </w:tcPr>
          <w:p w14:paraId="7B7ACBE7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2A">
              <w:rPr>
                <w:rFonts w:ascii="Times New Roman" w:hAnsi="Times New Roman" w:cs="Times New Roman"/>
                <w:b/>
                <w:sz w:val="20"/>
                <w:szCs w:val="20"/>
              </w:rPr>
              <w:t>% zaawansowania etapu</w:t>
            </w:r>
          </w:p>
        </w:tc>
      </w:tr>
      <w:tr w:rsidR="000E491A" w:rsidRPr="0063212A" w14:paraId="11AD819C" w14:textId="77777777" w:rsidTr="00287CFD">
        <w:trPr>
          <w:trHeight w:val="828"/>
          <w:jc w:val="center"/>
        </w:trPr>
        <w:tc>
          <w:tcPr>
            <w:tcW w:w="846" w:type="dxa"/>
            <w:vAlign w:val="center"/>
          </w:tcPr>
          <w:p w14:paraId="1B963165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3549" w:type="dxa"/>
            <w:vAlign w:val="center"/>
          </w:tcPr>
          <w:p w14:paraId="6BF1B5F9" w14:textId="77777777" w:rsidR="000E491A" w:rsidRPr="0063212A" w:rsidRDefault="000E491A" w:rsidP="00287CF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Zakup gruntu, roboty ziemne, fundamenty, ściany fundamentowe, zasyp – tzw. „stan zero” </w:t>
            </w:r>
          </w:p>
        </w:tc>
        <w:tc>
          <w:tcPr>
            <w:tcW w:w="1701" w:type="dxa"/>
            <w:vAlign w:val="center"/>
          </w:tcPr>
          <w:p w14:paraId="32DEF9D5" w14:textId="77777777" w:rsidR="000E491A" w:rsidRPr="001973A8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</w:p>
          <w:p w14:paraId="2F233B45" w14:textId="77777777" w:rsidR="000E491A" w:rsidRPr="001973A8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  <w:r w:rsidRPr="001973A8">
              <w:rPr>
                <w:rFonts w:ascii="Times New Roman" w:hAnsi="Times New Roman" w:cs="Times New Roman"/>
              </w:rPr>
              <w:t xml:space="preserve"> 2025</w:t>
            </w:r>
          </w:p>
          <w:p w14:paraId="75A58634" w14:textId="77777777" w:rsidR="000E491A" w:rsidRPr="001973A8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6A1A654F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63212A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491A" w:rsidRPr="0063212A" w14:paraId="6F4475B8" w14:textId="77777777" w:rsidTr="00287CFD">
        <w:trPr>
          <w:trHeight w:val="552"/>
          <w:jc w:val="center"/>
        </w:trPr>
        <w:tc>
          <w:tcPr>
            <w:tcW w:w="846" w:type="dxa"/>
            <w:vAlign w:val="center"/>
          </w:tcPr>
          <w:p w14:paraId="48520574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3549" w:type="dxa"/>
            <w:vAlign w:val="center"/>
          </w:tcPr>
          <w:p w14:paraId="0DA80D6F" w14:textId="77777777" w:rsidR="000E491A" w:rsidRDefault="000E491A" w:rsidP="00287CF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Ściany konstrukcyjne i strop parteru, schody wewnętrzne</w:t>
            </w:r>
          </w:p>
        </w:tc>
        <w:tc>
          <w:tcPr>
            <w:tcW w:w="1701" w:type="dxa"/>
            <w:vAlign w:val="center"/>
          </w:tcPr>
          <w:p w14:paraId="03180A15" w14:textId="77777777" w:rsidR="000E491A" w:rsidRPr="001973A8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STYCZEŃ </w:t>
            </w:r>
            <w:r w:rsidRPr="001973A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836" w:type="dxa"/>
            <w:vAlign w:val="center"/>
          </w:tcPr>
          <w:p w14:paraId="4C47884B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0E491A" w:rsidRPr="0063212A" w14:paraId="78B69A3B" w14:textId="77777777" w:rsidTr="00287CFD">
        <w:trPr>
          <w:trHeight w:val="552"/>
          <w:jc w:val="center"/>
        </w:trPr>
        <w:tc>
          <w:tcPr>
            <w:tcW w:w="846" w:type="dxa"/>
            <w:vAlign w:val="center"/>
          </w:tcPr>
          <w:p w14:paraId="306507D6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III</w:t>
            </w:r>
          </w:p>
          <w:p w14:paraId="2EEA571D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9" w:type="dxa"/>
            <w:vAlign w:val="center"/>
          </w:tcPr>
          <w:p w14:paraId="6F1CBA1D" w14:textId="77777777" w:rsidR="000E491A" w:rsidRPr="0063212A" w:rsidRDefault="000E491A" w:rsidP="00287CF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63212A">
              <w:rPr>
                <w:rFonts w:ascii="Times New Roman" w:hAnsi="Times New Roman" w:cs="Times New Roman"/>
                <w:color w:val="000000"/>
              </w:rPr>
              <w:t xml:space="preserve">tan surowy otwarty </w:t>
            </w:r>
            <w:r>
              <w:rPr>
                <w:rFonts w:ascii="Times New Roman" w:hAnsi="Times New Roman" w:cs="Times New Roman"/>
                <w:color w:val="000000"/>
              </w:rPr>
              <w:t>- ś</w:t>
            </w:r>
            <w:r w:rsidRPr="0063212A">
              <w:rPr>
                <w:rFonts w:ascii="Times New Roman" w:hAnsi="Times New Roman" w:cs="Times New Roman"/>
                <w:color w:val="000000"/>
              </w:rPr>
              <w:t>ciany poddasza, ściany działowe, dach</w:t>
            </w:r>
          </w:p>
        </w:tc>
        <w:tc>
          <w:tcPr>
            <w:tcW w:w="1701" w:type="dxa"/>
            <w:vAlign w:val="center"/>
          </w:tcPr>
          <w:p w14:paraId="3C1CEEC9" w14:textId="77777777" w:rsidR="000E491A" w:rsidRPr="001973A8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</w:t>
            </w:r>
            <w:r w:rsidRPr="001973A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6" w:type="dxa"/>
            <w:vAlign w:val="center"/>
          </w:tcPr>
          <w:p w14:paraId="3D015F6D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63212A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491A" w:rsidRPr="0063212A" w14:paraId="2BEF4C1E" w14:textId="77777777" w:rsidTr="00287CFD">
        <w:trPr>
          <w:trHeight w:val="1228"/>
          <w:jc w:val="center"/>
        </w:trPr>
        <w:tc>
          <w:tcPr>
            <w:tcW w:w="846" w:type="dxa"/>
            <w:vAlign w:val="center"/>
          </w:tcPr>
          <w:p w14:paraId="1047CE23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 xml:space="preserve">IV </w:t>
            </w:r>
          </w:p>
        </w:tc>
        <w:tc>
          <w:tcPr>
            <w:tcW w:w="3549" w:type="dxa"/>
            <w:vAlign w:val="center"/>
          </w:tcPr>
          <w:p w14:paraId="2DBBBC34" w14:textId="77777777" w:rsidR="000E491A" w:rsidRPr="0063212A" w:rsidRDefault="000E491A" w:rsidP="00287CF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Wykonanie  instalacji wewnętrznych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212A">
              <w:rPr>
                <w:rFonts w:ascii="Times New Roman" w:hAnsi="Times New Roman" w:cs="Times New Roman"/>
                <w:color w:val="000000"/>
              </w:rPr>
              <w:t>podtynkowych</w:t>
            </w:r>
            <w:r>
              <w:rPr>
                <w:rFonts w:ascii="Times New Roman" w:hAnsi="Times New Roman" w:cs="Times New Roman"/>
                <w:color w:val="000000"/>
              </w:rPr>
              <w:t xml:space="preserve"> (okablowanie)</w:t>
            </w:r>
            <w:r w:rsidRPr="0063212A">
              <w:rPr>
                <w:rFonts w:ascii="Times New Roman" w:hAnsi="Times New Roman" w:cs="Times New Roman"/>
                <w:color w:val="000000"/>
              </w:rPr>
              <w:t>, montaż stolarki okiennej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162FE62B" w14:textId="77777777" w:rsidR="000E491A" w:rsidRPr="001973A8" w:rsidRDefault="000E491A" w:rsidP="00287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  <w:r w:rsidRPr="001973A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6" w:type="dxa"/>
            <w:vAlign w:val="center"/>
          </w:tcPr>
          <w:p w14:paraId="469DB9D7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0E491A" w:rsidRPr="0063212A" w14:paraId="70066396" w14:textId="77777777" w:rsidTr="00287CFD">
        <w:trPr>
          <w:jc w:val="center"/>
        </w:trPr>
        <w:tc>
          <w:tcPr>
            <w:tcW w:w="846" w:type="dxa"/>
            <w:vAlign w:val="center"/>
          </w:tcPr>
          <w:p w14:paraId="1647DAAA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3549" w:type="dxa"/>
            <w:vAlign w:val="center"/>
          </w:tcPr>
          <w:p w14:paraId="5D9C7556" w14:textId="77777777" w:rsidR="000E491A" w:rsidRPr="0063212A" w:rsidRDefault="000E491A" w:rsidP="00287CF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 xml:space="preserve">Wykonanie tynków, wykonanie instalacji </w:t>
            </w:r>
            <w:proofErr w:type="spellStart"/>
            <w:r w:rsidRPr="0063212A">
              <w:rPr>
                <w:rFonts w:ascii="Times New Roman" w:hAnsi="Times New Roman" w:cs="Times New Roman"/>
                <w:color w:val="000000"/>
              </w:rPr>
              <w:t>podposadzkowych</w:t>
            </w:r>
            <w:proofErr w:type="spellEnd"/>
            <w:r w:rsidRPr="0063212A">
              <w:rPr>
                <w:rFonts w:ascii="Times New Roman" w:hAnsi="Times New Roman" w:cs="Times New Roman"/>
                <w:color w:val="000000"/>
              </w:rPr>
              <w:t xml:space="preserve"> i wylewek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63212A">
              <w:rPr>
                <w:rFonts w:ascii="Times New Roman" w:hAnsi="Times New Roman" w:cs="Times New Roman"/>
                <w:color w:val="000000"/>
              </w:rPr>
              <w:t xml:space="preserve">Wykonanie elewacji, montaż stolarki drzwiowej zewnętrznej, montaż bramy garażowej, </w:t>
            </w:r>
          </w:p>
        </w:tc>
        <w:tc>
          <w:tcPr>
            <w:tcW w:w="1701" w:type="dxa"/>
            <w:vAlign w:val="center"/>
          </w:tcPr>
          <w:p w14:paraId="564E4C51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SIERPIEŃ</w:t>
            </w:r>
            <w:r w:rsidRPr="0063212A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6" w:type="dxa"/>
            <w:vAlign w:val="center"/>
          </w:tcPr>
          <w:p w14:paraId="14D2A4BB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63212A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491A" w:rsidRPr="0063212A" w14:paraId="373EB800" w14:textId="77777777" w:rsidTr="00287CFD">
        <w:trPr>
          <w:trHeight w:val="2862"/>
          <w:jc w:val="center"/>
        </w:trPr>
        <w:tc>
          <w:tcPr>
            <w:tcW w:w="846" w:type="dxa"/>
            <w:vAlign w:val="center"/>
          </w:tcPr>
          <w:p w14:paraId="40276089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3549" w:type="dxa"/>
            <w:vAlign w:val="center"/>
          </w:tcPr>
          <w:p w14:paraId="41AF491A" w14:textId="77777777" w:rsidR="000E491A" w:rsidRPr="0063212A" w:rsidRDefault="000E491A" w:rsidP="00287CFD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 xml:space="preserve">Wykonanie ocieplenia i zabudowy poddasza, Wykonanie przyłączy, Wykonanie zagospodarowania terenu </w:t>
            </w:r>
            <w:r>
              <w:rPr>
                <w:rFonts w:ascii="Times New Roman" w:hAnsi="Times New Roman" w:cs="Times New Roman"/>
                <w:color w:val="000000"/>
              </w:rPr>
              <w:t xml:space="preserve">(ogrodzenie panelowe bez bram wjazdowych; teren wstępnie wyrównany bez humusowania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nasadzeń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utwardzenia z kostki betonowej od frontu budynku).</w:t>
            </w:r>
          </w:p>
        </w:tc>
        <w:tc>
          <w:tcPr>
            <w:tcW w:w="1701" w:type="dxa"/>
            <w:vAlign w:val="center"/>
          </w:tcPr>
          <w:p w14:paraId="7C944268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GRUDZIEŃ </w:t>
            </w:r>
            <w:r w:rsidRPr="0063212A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6" w:type="dxa"/>
            <w:vAlign w:val="center"/>
          </w:tcPr>
          <w:p w14:paraId="5EC4996C" w14:textId="77777777" w:rsidR="000E491A" w:rsidRPr="0063212A" w:rsidRDefault="000E491A" w:rsidP="00287C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12A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</w:tbl>
    <w:p w14:paraId="7C25A3D3" w14:textId="77777777" w:rsidR="000E491A" w:rsidRPr="00B30E0B" w:rsidRDefault="000E491A" w:rsidP="000E491A">
      <w:pPr>
        <w:rPr>
          <w:rFonts w:ascii="Times New Roman" w:hAnsi="Times New Roman" w:cs="Times New Roman"/>
          <w:sz w:val="28"/>
          <w:szCs w:val="28"/>
        </w:rPr>
      </w:pPr>
    </w:p>
    <w:p w14:paraId="1F64B8E3" w14:textId="77777777" w:rsidR="000E491A" w:rsidRPr="00E4291A" w:rsidRDefault="000E491A" w:rsidP="00846C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E491A" w:rsidRPr="00E4291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372E" w14:textId="77777777" w:rsidR="00AB6C10" w:rsidRDefault="00AB6C10" w:rsidP="00876D6F">
      <w:pPr>
        <w:spacing w:after="0" w:line="240" w:lineRule="auto"/>
      </w:pPr>
      <w:r>
        <w:separator/>
      </w:r>
    </w:p>
  </w:endnote>
  <w:endnote w:type="continuationSeparator" w:id="0">
    <w:p w14:paraId="1F899199" w14:textId="77777777" w:rsidR="00AB6C10" w:rsidRDefault="00AB6C10" w:rsidP="0087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300C" w14:textId="77777777" w:rsidR="00AB6C10" w:rsidRDefault="00AB6C10" w:rsidP="00876D6F">
      <w:pPr>
        <w:spacing w:after="0" w:line="240" w:lineRule="auto"/>
      </w:pPr>
      <w:r>
        <w:separator/>
      </w:r>
    </w:p>
  </w:footnote>
  <w:footnote w:type="continuationSeparator" w:id="0">
    <w:p w14:paraId="09749BD2" w14:textId="77777777" w:rsidR="00AB6C10" w:rsidRDefault="00AB6C10" w:rsidP="00876D6F">
      <w:pPr>
        <w:spacing w:after="0" w:line="240" w:lineRule="auto"/>
      </w:pPr>
      <w:r>
        <w:continuationSeparator/>
      </w:r>
    </w:p>
  </w:footnote>
  <w:footnote w:id="1">
    <w:p w14:paraId="31AA00E7" w14:textId="61F16D6A" w:rsidR="00876D6F" w:rsidRPr="00876D6F" w:rsidRDefault="00876D6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76D6F">
        <w:rPr>
          <w:sz w:val="16"/>
          <w:szCs w:val="16"/>
        </w:rPr>
        <w:t>Jeżeli działka nie posiada adresu, należy opisowo określić jej położenie</w:t>
      </w:r>
    </w:p>
  </w:footnote>
  <w:footnote w:id="2">
    <w:p w14:paraId="339EB949" w14:textId="6508B526" w:rsidR="00876D6F" w:rsidRDefault="00876D6F">
      <w:pPr>
        <w:pStyle w:val="Tekstprzypisudolnego"/>
      </w:pPr>
      <w:r w:rsidRPr="00876D6F">
        <w:rPr>
          <w:rStyle w:val="Odwoanieprzypisudolnego"/>
          <w:sz w:val="16"/>
          <w:szCs w:val="16"/>
        </w:rPr>
        <w:footnoteRef/>
      </w:r>
      <w:r w:rsidRPr="00876D6F">
        <w:rPr>
          <w:sz w:val="16"/>
          <w:szCs w:val="16"/>
        </w:rPr>
        <w:t xml:space="preserve"> W szczególności imię i nazwisko albo firma właściciela lub użytkownika wieczystego oraz istniejące obciążenia na nieruchomości</w:t>
      </w:r>
    </w:p>
  </w:footnote>
  <w:footnote w:id="3">
    <w:p w14:paraId="515A84DB" w14:textId="17342C5B" w:rsidR="00876D6F" w:rsidRDefault="00876D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6D6F">
        <w:rPr>
          <w:sz w:val="16"/>
        </w:rPr>
        <w:t>W szczególności obiekty generujące uciążliwości zapachowe, hałasowe, świetlne</w:t>
      </w:r>
    </w:p>
  </w:footnote>
  <w:footnote w:id="4">
    <w:p w14:paraId="1C382C66" w14:textId="320BFE4D" w:rsidR="00876D6F" w:rsidRPr="009F421F" w:rsidRDefault="00876D6F">
      <w:pPr>
        <w:pStyle w:val="Tekstprzypisudolnego"/>
        <w:rPr>
          <w:sz w:val="16"/>
        </w:rPr>
      </w:pPr>
      <w:r w:rsidRPr="009F421F">
        <w:rPr>
          <w:rStyle w:val="Odwoanieprzypisudolnego"/>
          <w:sz w:val="16"/>
        </w:rPr>
        <w:footnoteRef/>
      </w:r>
      <w:r w:rsidRPr="009F421F">
        <w:rPr>
          <w:sz w:val="16"/>
        </w:rPr>
        <w:t xml:space="preserve"> Akty prawne (rozporządzenia, zarządzenia, uchwały, decyzje) w sprawie:</w:t>
      </w:r>
    </w:p>
    <w:p w14:paraId="385CF13D" w14:textId="3A9916BA" w:rsidR="00876D6F" w:rsidRPr="00432F48" w:rsidRDefault="00876D6F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Dokonania rezerwacji obszaru inwestycji (Centralnym Port Ko</w:t>
      </w:r>
      <w:r w:rsidR="009F421F" w:rsidRPr="00432F48">
        <w:rPr>
          <w:sz w:val="16"/>
        </w:rPr>
        <w:t>mu</w:t>
      </w:r>
      <w:r w:rsidRPr="00432F48">
        <w:rPr>
          <w:sz w:val="16"/>
        </w:rPr>
        <w:t>nikacyjny)</w:t>
      </w:r>
      <w:r w:rsidR="009F421F" w:rsidRPr="00432F48">
        <w:rPr>
          <w:sz w:val="16"/>
        </w:rPr>
        <w:t>,</w:t>
      </w:r>
    </w:p>
    <w:p w14:paraId="34ABE195" w14:textId="21E71EE6" w:rsidR="00876D6F" w:rsidRPr="00432F48" w:rsidRDefault="009F421F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Lokalizacja inwestycji mieszkaniowej lub inwestycji towarzyszącej,</w:t>
      </w:r>
    </w:p>
    <w:p w14:paraId="737543D8" w14:textId="59F58DCE" w:rsidR="009F421F" w:rsidRPr="00432F48" w:rsidRDefault="009F421F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Ustanowienie form ochrony przyrody lub ich otulin (Parku Narodowego, rezerwatu przyrody, parku krajobrazowego, obszaru chronionego krajobrazu, obszaru Natura 2000, pomnika przyrody, stanowiska dokumentacyjnego, użytku ekologicznego, zespołu przyrodniczo-krajobrazowego, ochrony gatunkowej roślin, zwierząt i grzybów,</w:t>
      </w:r>
    </w:p>
    <w:p w14:paraId="15994762" w14:textId="17F3A749" w:rsidR="009F421F" w:rsidRPr="00432F48" w:rsidRDefault="009F421F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Ustanowienia strefy ochronnej terenu ochrony bezpośredniej i trenu ochrony pośredniej ujęcia wody</w:t>
      </w:r>
      <w:r w:rsidR="00432F48" w:rsidRPr="00432F48">
        <w:rPr>
          <w:sz w:val="16"/>
        </w:rPr>
        <w:t>,</w:t>
      </w:r>
    </w:p>
    <w:p w14:paraId="447BFC8E" w14:textId="79655B6E" w:rsidR="009F421F" w:rsidRPr="00432F48" w:rsidRDefault="009F421F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 xml:space="preserve">Wyznaczenie obszarów cichych w aglomeracji </w:t>
      </w:r>
      <w:r w:rsidR="00432F48" w:rsidRPr="00432F48">
        <w:rPr>
          <w:sz w:val="16"/>
        </w:rPr>
        <w:t>lub obszarów cichych poza aglomeracją,</w:t>
      </w:r>
    </w:p>
    <w:p w14:paraId="426AD7A6" w14:textId="407188D7" w:rsidR="00432F48" w:rsidRPr="00432F48" w:rsidRDefault="00432F48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Utworzenie obszaru ograniczonego użytkowania,</w:t>
      </w:r>
    </w:p>
    <w:p w14:paraId="20986185" w14:textId="5E9B7FF0" w:rsidR="00432F48" w:rsidRPr="00432F48" w:rsidRDefault="00432F48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Uznania zabytku za pomni przyrody,</w:t>
      </w:r>
    </w:p>
    <w:p w14:paraId="127E0D23" w14:textId="4391D4C8" w:rsidR="00432F48" w:rsidRPr="00432F48" w:rsidRDefault="00432F48" w:rsidP="00876D6F">
      <w:pPr>
        <w:pStyle w:val="Tekstprzypisudolnego"/>
        <w:numPr>
          <w:ilvl w:val="0"/>
          <w:numId w:val="2"/>
        </w:numPr>
        <w:rPr>
          <w:sz w:val="16"/>
        </w:rPr>
      </w:pPr>
      <w:r w:rsidRPr="00432F48">
        <w:rPr>
          <w:sz w:val="16"/>
        </w:rPr>
        <w:t>Określenia granic obszaru Pomnika Zagłady i jego strefy ochronnej, utworzenia parku kulturowego,</w:t>
      </w:r>
    </w:p>
    <w:p w14:paraId="366508C0" w14:textId="2B7693EB" w:rsidR="00432F48" w:rsidRDefault="00432F48" w:rsidP="00876D6F">
      <w:pPr>
        <w:pStyle w:val="Tekstprzypisudolnego"/>
        <w:numPr>
          <w:ilvl w:val="0"/>
          <w:numId w:val="2"/>
        </w:numPr>
      </w:pPr>
      <w:r w:rsidRPr="00432F48">
        <w:rPr>
          <w:sz w:val="16"/>
        </w:rPr>
        <w:t>Ustalenia zasad i warunków sytuowania obiektów małej architektury, tablic reklamowych i urządzeń reklamowych oraz ogrodzeń, ich gabarytów, standardów jakościowych oraz rodzajów materiałów budowlanych</w:t>
      </w:r>
    </w:p>
  </w:footnote>
  <w:footnote w:id="5">
    <w:p w14:paraId="378D5C80" w14:textId="2E393A62" w:rsidR="00EB2246" w:rsidRDefault="00EB22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246">
        <w:rPr>
          <w:sz w:val="16"/>
          <w:szCs w:val="16"/>
        </w:rPr>
        <w:t>W przypadku braku miejscowego planu zagospodarowania przestrzennego umieszcza się informację „Brak planu”</w:t>
      </w:r>
    </w:p>
  </w:footnote>
  <w:footnote w:id="6">
    <w:p w14:paraId="30B483C3" w14:textId="2EE97278" w:rsidR="00AB3DB1" w:rsidRDefault="00AB3DB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49 ust. 6 ustawy z dnia 20 maja 2021 r. o ochronie praw nabywcy lokalu mieszkalnego lub domu jednorodzinnego oraz Deweloperskim Funduszu Gwarancyjnym (Dz. U. poz. 177) wysokość składki jest wyliczana według stawki procentowej obowiązującej w dniu rozpoczęcia sprzedaży lokali mieszkalnych </w:t>
      </w:r>
      <w:r w:rsidR="00B15BC9">
        <w:t>lub domów jednorodzinnych w ramach danego przedsięwzięcia deweloperskiego lub zadania inwestycyjnego. Natomiast stawkę procentową określa akt wykonawczy wydany na podstawie art. 49 ust. 8 ustawy z dnia 20 maja 2021 r. o ochronie praw nabywcy lokalu mieszkalnego lub domu jednorodzinnego oraz Deweloperskim Funduszu Gwarancyjnym.</w:t>
      </w:r>
    </w:p>
    <w:p w14:paraId="2B21CA23" w14:textId="77777777" w:rsidR="00B15BC9" w:rsidRDefault="00B15BC9">
      <w:pPr>
        <w:pStyle w:val="Tekstprzypisudolnego"/>
      </w:pPr>
    </w:p>
    <w:p w14:paraId="15BBE979" w14:textId="77777777" w:rsidR="00B15BC9" w:rsidRPr="00B15BC9" w:rsidRDefault="00B15BC9" w:rsidP="00B15BC9">
      <w:pPr>
        <w:rPr>
          <w:sz w:val="20"/>
          <w:szCs w:val="20"/>
        </w:rPr>
      </w:pPr>
      <w:r w:rsidRPr="00B15BC9">
        <w:rPr>
          <w:sz w:val="20"/>
          <w:szCs w:val="20"/>
        </w:rPr>
        <w:t>* Nie Potrzebne skreślić</w:t>
      </w:r>
    </w:p>
    <w:p w14:paraId="0D2669F7" w14:textId="77777777" w:rsidR="00B15BC9" w:rsidRDefault="00B15B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4D59" w14:textId="77777777" w:rsidR="00D90E79" w:rsidRDefault="00D90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6F4"/>
    <w:multiLevelType w:val="hybridMultilevel"/>
    <w:tmpl w:val="A07E7226"/>
    <w:lvl w:ilvl="0" w:tplc="C8E0F19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575112"/>
    <w:multiLevelType w:val="hybridMultilevel"/>
    <w:tmpl w:val="5BDEA6DC"/>
    <w:lvl w:ilvl="0" w:tplc="04467412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B1C"/>
    <w:multiLevelType w:val="hybridMultilevel"/>
    <w:tmpl w:val="C06E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EF3"/>
    <w:multiLevelType w:val="hybridMultilevel"/>
    <w:tmpl w:val="F0D25C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8086C"/>
    <w:multiLevelType w:val="hybridMultilevel"/>
    <w:tmpl w:val="C8620880"/>
    <w:lvl w:ilvl="0" w:tplc="4B30E4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12CB"/>
    <w:multiLevelType w:val="hybridMultilevel"/>
    <w:tmpl w:val="0E262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4CD1"/>
    <w:multiLevelType w:val="hybridMultilevel"/>
    <w:tmpl w:val="77940A36"/>
    <w:lvl w:ilvl="0" w:tplc="DEAAD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65C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3EE3"/>
    <w:multiLevelType w:val="hybridMultilevel"/>
    <w:tmpl w:val="C19AD35A"/>
    <w:lvl w:ilvl="0" w:tplc="E9AAC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362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203386"/>
    <w:multiLevelType w:val="hybridMultilevel"/>
    <w:tmpl w:val="01A698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32BC"/>
    <w:multiLevelType w:val="hybridMultilevel"/>
    <w:tmpl w:val="2FC63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4FA19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F1F84"/>
    <w:multiLevelType w:val="hybridMultilevel"/>
    <w:tmpl w:val="7006F316"/>
    <w:lvl w:ilvl="0" w:tplc="05B8C38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114B5"/>
    <w:multiLevelType w:val="hybridMultilevel"/>
    <w:tmpl w:val="53EE24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B53A6"/>
    <w:multiLevelType w:val="hybridMultilevel"/>
    <w:tmpl w:val="222C6FF2"/>
    <w:lvl w:ilvl="0" w:tplc="0A7ED88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51D8"/>
    <w:multiLevelType w:val="hybridMultilevel"/>
    <w:tmpl w:val="01A69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A66E2"/>
    <w:multiLevelType w:val="hybridMultilevel"/>
    <w:tmpl w:val="65F255D0"/>
    <w:lvl w:ilvl="0" w:tplc="50008F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4645"/>
    <w:multiLevelType w:val="hybridMultilevel"/>
    <w:tmpl w:val="248C6836"/>
    <w:lvl w:ilvl="0" w:tplc="71509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970AF"/>
    <w:multiLevelType w:val="hybridMultilevel"/>
    <w:tmpl w:val="95C42B52"/>
    <w:lvl w:ilvl="0" w:tplc="50008F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2755">
    <w:abstractNumId w:val="4"/>
  </w:num>
  <w:num w:numId="2" w16cid:durableId="1215508248">
    <w:abstractNumId w:val="13"/>
  </w:num>
  <w:num w:numId="3" w16cid:durableId="491485551">
    <w:abstractNumId w:val="7"/>
  </w:num>
  <w:num w:numId="4" w16cid:durableId="895435926">
    <w:abstractNumId w:val="2"/>
  </w:num>
  <w:num w:numId="5" w16cid:durableId="1518690601">
    <w:abstractNumId w:val="5"/>
  </w:num>
  <w:num w:numId="6" w16cid:durableId="1029450059">
    <w:abstractNumId w:val="12"/>
  </w:num>
  <w:num w:numId="7" w16cid:durableId="1419785002">
    <w:abstractNumId w:val="3"/>
  </w:num>
  <w:num w:numId="8" w16cid:durableId="1400782583">
    <w:abstractNumId w:val="16"/>
  </w:num>
  <w:num w:numId="9" w16cid:durableId="1156923068">
    <w:abstractNumId w:val="14"/>
  </w:num>
  <w:num w:numId="10" w16cid:durableId="1779980756">
    <w:abstractNumId w:val="9"/>
  </w:num>
  <w:num w:numId="11" w16cid:durableId="1139113163">
    <w:abstractNumId w:val="10"/>
  </w:num>
  <w:num w:numId="12" w16cid:durableId="2040353647">
    <w:abstractNumId w:val="1"/>
  </w:num>
  <w:num w:numId="13" w16cid:durableId="181356781">
    <w:abstractNumId w:val="17"/>
  </w:num>
  <w:num w:numId="14" w16cid:durableId="803621287">
    <w:abstractNumId w:val="0"/>
  </w:num>
  <w:num w:numId="15" w16cid:durableId="1914969705">
    <w:abstractNumId w:val="15"/>
  </w:num>
  <w:num w:numId="16" w16cid:durableId="220025186">
    <w:abstractNumId w:val="6"/>
  </w:num>
  <w:num w:numId="17" w16cid:durableId="1565330975">
    <w:abstractNumId w:val="11"/>
  </w:num>
  <w:num w:numId="18" w16cid:durableId="1377437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10"/>
    <w:rsid w:val="00045160"/>
    <w:rsid w:val="00066346"/>
    <w:rsid w:val="00083694"/>
    <w:rsid w:val="000C69AD"/>
    <w:rsid w:val="000D786E"/>
    <w:rsid w:val="000E236E"/>
    <w:rsid w:val="000E491A"/>
    <w:rsid w:val="000F0EE5"/>
    <w:rsid w:val="00105010"/>
    <w:rsid w:val="00115491"/>
    <w:rsid w:val="001167EC"/>
    <w:rsid w:val="00120B38"/>
    <w:rsid w:val="00132C6F"/>
    <w:rsid w:val="001416EE"/>
    <w:rsid w:val="00143221"/>
    <w:rsid w:val="00165B4F"/>
    <w:rsid w:val="00173EBD"/>
    <w:rsid w:val="00180155"/>
    <w:rsid w:val="0018525A"/>
    <w:rsid w:val="001907BE"/>
    <w:rsid w:val="00197827"/>
    <w:rsid w:val="001C3C28"/>
    <w:rsid w:val="001C65F7"/>
    <w:rsid w:val="001E5182"/>
    <w:rsid w:val="00201529"/>
    <w:rsid w:val="00216C4C"/>
    <w:rsid w:val="0023789B"/>
    <w:rsid w:val="002448FC"/>
    <w:rsid w:val="0025468A"/>
    <w:rsid w:val="00257D1C"/>
    <w:rsid w:val="002914C3"/>
    <w:rsid w:val="002A186B"/>
    <w:rsid w:val="002B0CC5"/>
    <w:rsid w:val="002C4B10"/>
    <w:rsid w:val="00332C1F"/>
    <w:rsid w:val="003370FF"/>
    <w:rsid w:val="0034449D"/>
    <w:rsid w:val="003554E1"/>
    <w:rsid w:val="003D0BB7"/>
    <w:rsid w:val="003E070D"/>
    <w:rsid w:val="003E2513"/>
    <w:rsid w:val="003E56B7"/>
    <w:rsid w:val="004116FD"/>
    <w:rsid w:val="00432F48"/>
    <w:rsid w:val="00441CED"/>
    <w:rsid w:val="00442BC7"/>
    <w:rsid w:val="00461F62"/>
    <w:rsid w:val="00462292"/>
    <w:rsid w:val="0047130D"/>
    <w:rsid w:val="0048359E"/>
    <w:rsid w:val="004B009E"/>
    <w:rsid w:val="00521492"/>
    <w:rsid w:val="005360AA"/>
    <w:rsid w:val="00557376"/>
    <w:rsid w:val="005A7141"/>
    <w:rsid w:val="005F263B"/>
    <w:rsid w:val="00616337"/>
    <w:rsid w:val="00630C48"/>
    <w:rsid w:val="00644DFC"/>
    <w:rsid w:val="006455EB"/>
    <w:rsid w:val="00654EE8"/>
    <w:rsid w:val="00673AC0"/>
    <w:rsid w:val="00695F6C"/>
    <w:rsid w:val="006B3E9F"/>
    <w:rsid w:val="006C3927"/>
    <w:rsid w:val="006D29D3"/>
    <w:rsid w:val="006E610B"/>
    <w:rsid w:val="007260CF"/>
    <w:rsid w:val="00726B41"/>
    <w:rsid w:val="00737527"/>
    <w:rsid w:val="007639C9"/>
    <w:rsid w:val="007642EE"/>
    <w:rsid w:val="00791923"/>
    <w:rsid w:val="007C2BE3"/>
    <w:rsid w:val="007D0739"/>
    <w:rsid w:val="007D7C19"/>
    <w:rsid w:val="007E6380"/>
    <w:rsid w:val="007E704E"/>
    <w:rsid w:val="007F1D85"/>
    <w:rsid w:val="008044F8"/>
    <w:rsid w:val="00832375"/>
    <w:rsid w:val="00834C8F"/>
    <w:rsid w:val="00846C5E"/>
    <w:rsid w:val="00854EEE"/>
    <w:rsid w:val="00861D57"/>
    <w:rsid w:val="00864FD4"/>
    <w:rsid w:val="00876D6F"/>
    <w:rsid w:val="00895DC7"/>
    <w:rsid w:val="008C0421"/>
    <w:rsid w:val="008D03A0"/>
    <w:rsid w:val="0090687A"/>
    <w:rsid w:val="00927541"/>
    <w:rsid w:val="00976565"/>
    <w:rsid w:val="009D17C9"/>
    <w:rsid w:val="009D59A9"/>
    <w:rsid w:val="009F421F"/>
    <w:rsid w:val="00A23E40"/>
    <w:rsid w:val="00A77D58"/>
    <w:rsid w:val="00AB3DB1"/>
    <w:rsid w:val="00AB6C10"/>
    <w:rsid w:val="00B15BC9"/>
    <w:rsid w:val="00B474AF"/>
    <w:rsid w:val="00BB4AA8"/>
    <w:rsid w:val="00BC40C3"/>
    <w:rsid w:val="00BD2DFF"/>
    <w:rsid w:val="00C117B2"/>
    <w:rsid w:val="00C44FB5"/>
    <w:rsid w:val="00C47950"/>
    <w:rsid w:val="00C72E91"/>
    <w:rsid w:val="00C952B5"/>
    <w:rsid w:val="00C9570F"/>
    <w:rsid w:val="00CB5EE3"/>
    <w:rsid w:val="00CD0684"/>
    <w:rsid w:val="00CD57F2"/>
    <w:rsid w:val="00CE61A2"/>
    <w:rsid w:val="00CF38D4"/>
    <w:rsid w:val="00CF7055"/>
    <w:rsid w:val="00D2770C"/>
    <w:rsid w:val="00D30257"/>
    <w:rsid w:val="00D40267"/>
    <w:rsid w:val="00D41F23"/>
    <w:rsid w:val="00D773B1"/>
    <w:rsid w:val="00D90E79"/>
    <w:rsid w:val="00DA74A5"/>
    <w:rsid w:val="00DC6B08"/>
    <w:rsid w:val="00E173B8"/>
    <w:rsid w:val="00E25E71"/>
    <w:rsid w:val="00E4291A"/>
    <w:rsid w:val="00E517DB"/>
    <w:rsid w:val="00E55C88"/>
    <w:rsid w:val="00E57344"/>
    <w:rsid w:val="00EA4C28"/>
    <w:rsid w:val="00EB2246"/>
    <w:rsid w:val="00ED3696"/>
    <w:rsid w:val="00F02C75"/>
    <w:rsid w:val="00FA4D29"/>
    <w:rsid w:val="00FB22EC"/>
    <w:rsid w:val="00FE2044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B80A2"/>
  <w15:chartTrackingRefBased/>
  <w15:docId w15:val="{6D9D979D-2FE3-4DC0-81BE-B5B1CB78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565"/>
    <w:pPr>
      <w:ind w:left="720"/>
      <w:contextualSpacing/>
    </w:pPr>
  </w:style>
  <w:style w:type="table" w:styleId="Tabela-Siatka">
    <w:name w:val="Table Grid"/>
    <w:basedOn w:val="Standardowy"/>
    <w:uiPriority w:val="59"/>
    <w:rsid w:val="0017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D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2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2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2D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D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E79"/>
  </w:style>
  <w:style w:type="paragraph" w:styleId="Stopka">
    <w:name w:val="footer"/>
    <w:basedOn w:val="Normalny"/>
    <w:link w:val="StopkaZnak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f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F353-0587-4FBE-B923-6AE283D3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3686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Konik</dc:creator>
  <cp:keywords/>
  <dc:description/>
  <cp:lastModifiedBy>Paweł Konik</cp:lastModifiedBy>
  <cp:revision>2</cp:revision>
  <cp:lastPrinted>2024-11-05T13:02:00Z</cp:lastPrinted>
  <dcterms:created xsi:type="dcterms:W3CDTF">2025-08-07T15:55:00Z</dcterms:created>
  <dcterms:modified xsi:type="dcterms:W3CDTF">2025-08-07T15:55:00Z</dcterms:modified>
</cp:coreProperties>
</file>